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131" w:rsidRPr="003417BB" w:rsidRDefault="00814131" w:rsidP="00814131">
      <w:pPr>
        <w:jc w:val="center"/>
        <w:rPr>
          <w:b/>
          <w:color w:val="000000" w:themeColor="text1"/>
          <w:sz w:val="28"/>
          <w:szCs w:val="28"/>
        </w:rPr>
      </w:pPr>
      <w:r w:rsidRPr="003417BB">
        <w:rPr>
          <w:b/>
          <w:color w:val="000000" w:themeColor="text1"/>
          <w:sz w:val="28"/>
          <w:szCs w:val="28"/>
        </w:rPr>
        <w:t>UV:VISIBLE EXCITABLE  PHOTOLUMINESCENCE SPECTRA FOR VARIABLE CONCENTRATION OF Tb</w:t>
      </w:r>
      <w:r w:rsidRPr="003417BB">
        <w:rPr>
          <w:b/>
          <w:color w:val="000000" w:themeColor="text1"/>
          <w:sz w:val="28"/>
          <w:szCs w:val="28"/>
          <w:vertAlign w:val="superscript"/>
        </w:rPr>
        <w:t>3+</w:t>
      </w:r>
      <w:r w:rsidRPr="003417BB">
        <w:rPr>
          <w:b/>
          <w:color w:val="000000" w:themeColor="text1"/>
          <w:sz w:val="28"/>
          <w:szCs w:val="28"/>
        </w:rPr>
        <w:t xml:space="preserve"> IN </w:t>
      </w:r>
      <w:r w:rsidRPr="003417BB">
        <w:rPr>
          <w:b/>
          <w:sz w:val="28"/>
          <w:szCs w:val="28"/>
          <w:lang w:val="en-GB"/>
        </w:rPr>
        <w:t>Al</w:t>
      </w:r>
      <w:r w:rsidRPr="003417BB">
        <w:rPr>
          <w:b/>
          <w:sz w:val="28"/>
          <w:szCs w:val="28"/>
          <w:vertAlign w:val="subscript"/>
          <w:lang w:val="en-GB"/>
        </w:rPr>
        <w:t>2</w:t>
      </w:r>
      <w:r w:rsidRPr="003417BB">
        <w:rPr>
          <w:b/>
          <w:sz w:val="28"/>
          <w:szCs w:val="28"/>
          <w:lang w:val="en-GB"/>
        </w:rPr>
        <w:t>Sr</w:t>
      </w:r>
      <w:r w:rsidRPr="003417BB">
        <w:rPr>
          <w:b/>
          <w:sz w:val="28"/>
          <w:szCs w:val="28"/>
          <w:vertAlign w:val="subscript"/>
          <w:lang w:val="en-GB"/>
        </w:rPr>
        <w:t>2</w:t>
      </w:r>
      <w:r w:rsidRPr="003417BB">
        <w:rPr>
          <w:b/>
          <w:sz w:val="28"/>
          <w:szCs w:val="28"/>
          <w:lang w:val="en-GB"/>
        </w:rPr>
        <w:t>La</w:t>
      </w:r>
      <w:r w:rsidRPr="003417BB">
        <w:rPr>
          <w:b/>
          <w:sz w:val="28"/>
          <w:szCs w:val="28"/>
          <w:vertAlign w:val="subscript"/>
          <w:lang w:val="en-GB"/>
        </w:rPr>
        <w:t>2</w:t>
      </w:r>
      <w:r w:rsidRPr="003417BB">
        <w:rPr>
          <w:b/>
          <w:sz w:val="28"/>
          <w:szCs w:val="28"/>
          <w:lang w:val="en-GB"/>
        </w:rPr>
        <w:t>O</w:t>
      </w:r>
      <w:r w:rsidRPr="003417BB">
        <w:rPr>
          <w:b/>
          <w:sz w:val="28"/>
          <w:szCs w:val="28"/>
          <w:vertAlign w:val="subscript"/>
          <w:lang w:val="en-GB"/>
        </w:rPr>
        <w:t xml:space="preserve">8 </w:t>
      </w:r>
      <w:r w:rsidRPr="003417BB">
        <w:rPr>
          <w:b/>
          <w:sz w:val="28"/>
          <w:szCs w:val="28"/>
          <w:lang w:val="en-GB"/>
        </w:rPr>
        <w:t>:EU PHOSPHOR</w:t>
      </w:r>
    </w:p>
    <w:p w:rsidR="00814131" w:rsidRPr="00D441B5" w:rsidRDefault="00814131" w:rsidP="00814131">
      <w:pPr>
        <w:spacing w:after="120"/>
        <w:jc w:val="center"/>
        <w:rPr>
          <w:b/>
          <w:sz w:val="28"/>
          <w:szCs w:val="28"/>
          <w:vertAlign w:val="superscript"/>
          <w:lang w:val="pl-PL"/>
        </w:rPr>
      </w:pPr>
      <w:r w:rsidRPr="00D441B5">
        <w:rPr>
          <w:b/>
          <w:sz w:val="28"/>
          <w:szCs w:val="28"/>
          <w:lang w:val="pl-PL"/>
        </w:rPr>
        <w:t>D. Srinivasa Rao</w:t>
      </w:r>
      <w:r w:rsidRPr="00D441B5">
        <w:rPr>
          <w:b/>
          <w:sz w:val="28"/>
          <w:szCs w:val="28"/>
          <w:vertAlign w:val="superscript"/>
          <w:lang w:val="pl-PL"/>
        </w:rPr>
        <w:t xml:space="preserve">1 </w:t>
      </w:r>
      <w:r w:rsidRPr="00D441B5">
        <w:rPr>
          <w:b/>
          <w:sz w:val="28"/>
          <w:szCs w:val="28"/>
          <w:lang w:val="pl-PL"/>
        </w:rPr>
        <w:t>, P Sai Raju</w:t>
      </w:r>
      <w:r w:rsidRPr="00D441B5">
        <w:rPr>
          <w:b/>
          <w:sz w:val="28"/>
          <w:szCs w:val="28"/>
          <w:vertAlign w:val="superscript"/>
          <w:lang w:val="pl-PL"/>
        </w:rPr>
        <w:t>2</w:t>
      </w:r>
      <w:r w:rsidRPr="00D441B5">
        <w:rPr>
          <w:b/>
          <w:sz w:val="28"/>
          <w:szCs w:val="28"/>
          <w:lang w:val="pl-PL"/>
        </w:rPr>
        <w:t>, B.Subba Rao</w:t>
      </w:r>
      <w:r w:rsidRPr="00D441B5">
        <w:rPr>
          <w:b/>
          <w:sz w:val="28"/>
          <w:szCs w:val="28"/>
          <w:vertAlign w:val="superscript"/>
          <w:lang w:val="pl-PL"/>
        </w:rPr>
        <w:t>3</w:t>
      </w:r>
      <w:r w:rsidRPr="00D441B5">
        <w:rPr>
          <w:b/>
          <w:sz w:val="28"/>
          <w:szCs w:val="28"/>
          <w:lang w:val="pl-PL"/>
        </w:rPr>
        <w:t xml:space="preserve"> and K. V. R. Murthy</w:t>
      </w:r>
      <w:r w:rsidRPr="00D441B5">
        <w:rPr>
          <w:b/>
          <w:sz w:val="28"/>
          <w:szCs w:val="28"/>
          <w:vertAlign w:val="superscript"/>
          <w:lang w:val="pl-PL"/>
        </w:rPr>
        <w:t>4</w:t>
      </w:r>
    </w:p>
    <w:p w:rsidR="00814131" w:rsidRPr="00D441B5" w:rsidRDefault="00814131" w:rsidP="00814131">
      <w:pPr>
        <w:jc w:val="center"/>
        <w:rPr>
          <w:lang w:val="pl-PL"/>
        </w:rPr>
      </w:pPr>
      <w:r w:rsidRPr="00D441B5">
        <w:rPr>
          <w:vertAlign w:val="superscript"/>
          <w:lang w:val="pl-PL"/>
        </w:rPr>
        <w:t>1</w:t>
      </w:r>
      <w:r w:rsidRPr="00D441B5">
        <w:rPr>
          <w:lang w:val="pl-PL"/>
        </w:rPr>
        <w:t>Department of Physics, BVSR Engineering College, Chimakurty-523226, India</w:t>
      </w:r>
    </w:p>
    <w:p w:rsidR="00814131" w:rsidRPr="00D441B5" w:rsidRDefault="00814131" w:rsidP="00814131">
      <w:pPr>
        <w:jc w:val="center"/>
        <w:rPr>
          <w:lang w:val="pl-PL"/>
        </w:rPr>
      </w:pPr>
      <w:r w:rsidRPr="00D441B5">
        <w:rPr>
          <w:vertAlign w:val="superscript"/>
          <w:lang w:val="pl-PL"/>
        </w:rPr>
        <w:t>2</w:t>
      </w:r>
      <w:r w:rsidRPr="00D441B5">
        <w:rPr>
          <w:lang w:val="pl-PL"/>
        </w:rPr>
        <w:t>Department of Physics, Venus Junior College, Ongole-523001, A.P, India</w:t>
      </w:r>
    </w:p>
    <w:p w:rsidR="00814131" w:rsidRPr="00D441B5" w:rsidRDefault="00814131" w:rsidP="00814131">
      <w:pPr>
        <w:jc w:val="center"/>
        <w:rPr>
          <w:lang w:val="pl-PL"/>
        </w:rPr>
      </w:pPr>
      <w:r w:rsidRPr="00D441B5">
        <w:rPr>
          <w:vertAlign w:val="superscript"/>
          <w:lang w:val="pl-PL"/>
        </w:rPr>
        <w:t>3</w:t>
      </w:r>
      <w:r w:rsidRPr="00D441B5">
        <w:rPr>
          <w:lang w:val="pl-PL"/>
        </w:rPr>
        <w:t>Department of Physics, VSR &amp; NVR College, Tenali-522 201, India</w:t>
      </w:r>
    </w:p>
    <w:p w:rsidR="00814131" w:rsidRPr="00D441B5" w:rsidRDefault="00814131" w:rsidP="00814131">
      <w:pPr>
        <w:jc w:val="center"/>
        <w:rPr>
          <w:lang w:val="pl-PL"/>
        </w:rPr>
      </w:pPr>
      <w:r w:rsidRPr="00D441B5">
        <w:rPr>
          <w:lang w:val="pl-PL"/>
        </w:rPr>
        <w:t>and</w:t>
      </w:r>
    </w:p>
    <w:p w:rsidR="00814131" w:rsidRPr="00D441B5" w:rsidRDefault="00814131" w:rsidP="00814131">
      <w:pPr>
        <w:jc w:val="center"/>
        <w:rPr>
          <w:lang w:val="pl-PL"/>
        </w:rPr>
      </w:pPr>
      <w:r w:rsidRPr="00D441B5">
        <w:rPr>
          <w:vertAlign w:val="superscript"/>
          <w:lang w:val="pl-PL"/>
        </w:rPr>
        <w:t>4</w:t>
      </w:r>
      <w:r w:rsidRPr="00D441B5">
        <w:rPr>
          <w:lang w:val="pl-PL"/>
        </w:rPr>
        <w:t>Display Materials Laboratory, Applied Physics Department, Faculty of Technology &amp;</w:t>
      </w:r>
    </w:p>
    <w:p w:rsidR="00814131" w:rsidRPr="00D441B5" w:rsidRDefault="00814131" w:rsidP="00814131">
      <w:pPr>
        <w:jc w:val="center"/>
        <w:rPr>
          <w:lang w:val="pl-PL"/>
        </w:rPr>
      </w:pPr>
      <w:r w:rsidRPr="00D441B5">
        <w:rPr>
          <w:lang w:val="pl-PL"/>
        </w:rPr>
        <w:t>Engineering, M.S University of Baroda, Vadodara-390008, India</w:t>
      </w:r>
    </w:p>
    <w:p w:rsidR="00814131" w:rsidRDefault="00814131" w:rsidP="00814131">
      <w:pPr>
        <w:pStyle w:val="AuthName"/>
        <w:spacing w:before="0"/>
        <w:rPr>
          <w:b/>
          <w:szCs w:val="24"/>
        </w:rPr>
      </w:pPr>
    </w:p>
    <w:p w:rsidR="00814131" w:rsidRPr="00D441B5" w:rsidRDefault="00814131" w:rsidP="00814131">
      <w:pPr>
        <w:spacing w:line="360" w:lineRule="auto"/>
        <w:jc w:val="both"/>
        <w:rPr>
          <w:b/>
        </w:rPr>
      </w:pPr>
      <w:r w:rsidRPr="00D441B5">
        <w:rPr>
          <w:b/>
          <w:sz w:val="28"/>
          <w:szCs w:val="28"/>
        </w:rPr>
        <w:t>Abstract</w:t>
      </w:r>
      <w:r w:rsidRPr="00D441B5">
        <w:rPr>
          <w:b/>
          <w:i/>
          <w:sz w:val="28"/>
          <w:szCs w:val="28"/>
        </w:rPr>
        <w:t>:</w:t>
      </w:r>
      <w:r w:rsidRPr="00D441B5">
        <w:rPr>
          <w:b/>
          <w:sz w:val="28"/>
          <w:szCs w:val="28"/>
        </w:rPr>
        <w:t xml:space="preserve"> -</w:t>
      </w:r>
      <w:r w:rsidRPr="00D441B5">
        <w:rPr>
          <w:b/>
        </w:rPr>
        <w:t xml:space="preserve"> </w:t>
      </w:r>
      <w:r w:rsidRPr="00D441B5">
        <w:t xml:space="preserve">This paper reports the Photoluminescence properties of </w:t>
      </w:r>
      <w:r w:rsidRPr="00D441B5">
        <w:rPr>
          <w:lang w:val="en-GB"/>
        </w:rPr>
        <w:t>Al</w:t>
      </w:r>
      <w:r w:rsidRPr="00D441B5">
        <w:rPr>
          <w:vertAlign w:val="subscript"/>
          <w:lang w:val="en-GB"/>
        </w:rPr>
        <w:t>2</w:t>
      </w:r>
      <w:r w:rsidRPr="00D441B5">
        <w:rPr>
          <w:lang w:val="en-GB"/>
        </w:rPr>
        <w:t>Sr</w:t>
      </w:r>
      <w:r w:rsidRPr="00D441B5">
        <w:rPr>
          <w:vertAlign w:val="subscript"/>
          <w:lang w:val="en-GB"/>
        </w:rPr>
        <w:t>2</w:t>
      </w:r>
      <w:r w:rsidRPr="00D441B5">
        <w:rPr>
          <w:lang w:val="en-GB"/>
        </w:rPr>
        <w:t>La</w:t>
      </w:r>
      <w:r w:rsidRPr="00D441B5">
        <w:rPr>
          <w:vertAlign w:val="subscript"/>
          <w:lang w:val="en-GB"/>
        </w:rPr>
        <w:t>2</w:t>
      </w:r>
      <w:r w:rsidRPr="00D441B5">
        <w:rPr>
          <w:lang w:val="en-GB"/>
        </w:rPr>
        <w:t>O</w:t>
      </w:r>
      <w:r w:rsidRPr="00D441B5">
        <w:rPr>
          <w:vertAlign w:val="subscript"/>
          <w:lang w:val="en-GB"/>
        </w:rPr>
        <w:t xml:space="preserve">8 </w:t>
      </w:r>
      <w:r w:rsidRPr="00D441B5">
        <w:rPr>
          <w:lang w:val="en-GB"/>
        </w:rPr>
        <w:t xml:space="preserve">:Eu with different concentrations of trivalent Terbium as dopant.  </w:t>
      </w:r>
      <w:r w:rsidRPr="00D441B5">
        <w:t xml:space="preserve">This phosphor is </w:t>
      </w:r>
      <w:r w:rsidRPr="00D441B5">
        <w:rPr>
          <w:spacing w:val="-2"/>
          <w:position w:val="2"/>
        </w:rPr>
        <w:t xml:space="preserve"> synthesized using the solid state diffusion reaction. </w:t>
      </w:r>
      <w:r w:rsidRPr="00D441B5">
        <w:t>The emission spectra  recorded for ASL:Eu,Tb varying, when excited  with 268 and 278nm. The PL emission peaks are founded at 468,514,541,544,556,582,588,597,616 &amp; 627nm with different intensities. However the peaks at 541,588, and 627 nm intensities are found to be well resolved with less emission strength.  Increasing concentration of Tb acted as killer in ASL:Eu. This may be due to  the reason that when Tb</w:t>
      </w:r>
      <w:r w:rsidRPr="00D441B5">
        <w:rPr>
          <w:vertAlign w:val="superscript"/>
        </w:rPr>
        <w:t>3+</w:t>
      </w:r>
      <w:r w:rsidRPr="00D441B5">
        <w:t xml:space="preserve"> activator is excited with light of sufficient energy, such as UV light, its 4f</w:t>
      </w:r>
      <w:r w:rsidRPr="00D441B5">
        <w:rPr>
          <w:vertAlign w:val="superscript"/>
        </w:rPr>
        <w:t>8</w:t>
      </w:r>
      <w:r w:rsidRPr="00D441B5">
        <w:rPr>
          <w:vertAlign w:val="subscript"/>
        </w:rPr>
        <w:t xml:space="preserve"> </w:t>
      </w:r>
      <w:r w:rsidRPr="00D441B5">
        <w:t>electrons would be raised to the higher 4f</w:t>
      </w:r>
      <w:r w:rsidRPr="00D441B5">
        <w:rPr>
          <w:vertAlign w:val="superscript"/>
        </w:rPr>
        <w:t>7</w:t>
      </w:r>
      <w:r w:rsidRPr="00D441B5">
        <w:t>,</w:t>
      </w:r>
      <w:r>
        <w:t xml:space="preserve"> </w:t>
      </w:r>
      <w:r w:rsidRPr="00D441B5">
        <w:t>5d</w:t>
      </w:r>
      <w:r w:rsidRPr="00D441B5">
        <w:rPr>
          <w:vertAlign w:val="superscript"/>
        </w:rPr>
        <w:t>1</w:t>
      </w:r>
      <w:r w:rsidRPr="00D441B5">
        <w:t xml:space="preserve"> level and then fed to the  </w:t>
      </w:r>
      <w:r w:rsidRPr="00D441B5">
        <w:rPr>
          <w:vertAlign w:val="superscript"/>
        </w:rPr>
        <w:t xml:space="preserve">5 </w:t>
      </w:r>
      <w:r w:rsidRPr="00D441B5">
        <w:t>D</w:t>
      </w:r>
      <w:r w:rsidRPr="00D441B5">
        <w:rPr>
          <w:vertAlign w:val="subscript"/>
        </w:rPr>
        <w:t>3</w:t>
      </w:r>
      <w:r w:rsidRPr="00D441B5">
        <w:t>,</w:t>
      </w:r>
      <w:r w:rsidRPr="00D441B5">
        <w:rPr>
          <w:vertAlign w:val="subscript"/>
        </w:rPr>
        <w:t>4</w:t>
      </w:r>
      <w:r w:rsidRPr="00D441B5">
        <w:t xml:space="preserve"> excited states, from which fluorescence is produced by transitions to the </w:t>
      </w:r>
      <w:r w:rsidRPr="00D441B5">
        <w:rPr>
          <w:vertAlign w:val="superscript"/>
        </w:rPr>
        <w:t>7</w:t>
      </w:r>
      <w:r w:rsidRPr="00D441B5">
        <w:t>F</w:t>
      </w:r>
      <w:r w:rsidRPr="00D441B5">
        <w:rPr>
          <w:vertAlign w:val="subscript"/>
        </w:rPr>
        <w:t>J</w:t>
      </w:r>
      <w:r w:rsidRPr="00D441B5">
        <w:t xml:space="preserve"> (J = 1–6) ground states. Though the excited 5d electron is exposed, Tb</w:t>
      </w:r>
      <w:r w:rsidRPr="00D441B5">
        <w:rPr>
          <w:vertAlign w:val="superscript"/>
        </w:rPr>
        <w:t>3+</w:t>
      </w:r>
      <w:r w:rsidRPr="00D441B5">
        <w:t xml:space="preserve"> transitions involve only a redistribution of electrons within the inner 4f sub-shell, and thus similar emissions are usually observed from different types of host lattices, with the </w:t>
      </w:r>
      <w:r w:rsidRPr="00D441B5">
        <w:rPr>
          <w:vertAlign w:val="superscript"/>
        </w:rPr>
        <w:t>5</w:t>
      </w:r>
      <w:r w:rsidRPr="00D441B5">
        <w:t>D</w:t>
      </w:r>
      <w:r w:rsidRPr="00D441B5">
        <w:rPr>
          <w:vertAlign w:val="subscript"/>
        </w:rPr>
        <w:t>4</w:t>
      </w:r>
      <w:r w:rsidRPr="00D441B5">
        <w:t xml:space="preserve"> → </w:t>
      </w:r>
      <w:r w:rsidRPr="00D441B5">
        <w:rPr>
          <w:vertAlign w:val="superscript"/>
        </w:rPr>
        <w:t>7</w:t>
      </w:r>
      <w:r w:rsidRPr="00D441B5">
        <w:t>F</w:t>
      </w:r>
      <w:r w:rsidRPr="00D441B5">
        <w:rPr>
          <w:vertAlign w:val="subscript"/>
        </w:rPr>
        <w:t>5</w:t>
      </w:r>
      <w:r w:rsidRPr="00D441B5">
        <w:t xml:space="preserve"> green emissions at </w:t>
      </w:r>
      <w:r w:rsidRPr="00D441B5">
        <w:rPr>
          <w:rFonts w:ascii="Cambria Math" w:hAnsi="Cambria Math"/>
        </w:rPr>
        <w:t>∼</w:t>
      </w:r>
      <w:r w:rsidRPr="00D441B5">
        <w:t>541 nm being dominant.</w:t>
      </w:r>
      <w:r w:rsidRPr="00D441B5">
        <w:rPr>
          <w:spacing w:val="-2"/>
          <w:position w:val="2"/>
        </w:rPr>
        <w:t xml:space="preserve"> The crystallite size is calculated through XRD.  The shape of the crystal is determined by SEM. </w:t>
      </w:r>
      <w:r w:rsidRPr="00D441B5">
        <w:t>However the PL studies of the final products were found to be interesting from display device point of view.  The present work suggests a convenient, cost-effective method for white phosphor, which may lead to potential applications in solid state lighting.</w:t>
      </w:r>
    </w:p>
    <w:p w:rsidR="00814131" w:rsidRPr="00310F52" w:rsidRDefault="00814131" w:rsidP="00814131">
      <w:pPr>
        <w:pStyle w:val="AuthName"/>
        <w:tabs>
          <w:tab w:val="clear" w:pos="360"/>
          <w:tab w:val="left" w:pos="0"/>
        </w:tabs>
        <w:spacing w:before="0"/>
        <w:ind w:left="0" w:firstLine="0"/>
        <w:jc w:val="both"/>
      </w:pPr>
    </w:p>
    <w:p w:rsidR="00814131" w:rsidRDefault="00814131" w:rsidP="00814131">
      <w:pPr>
        <w:autoSpaceDE w:val="0"/>
        <w:autoSpaceDN w:val="0"/>
        <w:adjustRightInd w:val="0"/>
        <w:spacing w:line="360" w:lineRule="auto"/>
        <w:jc w:val="both"/>
      </w:pPr>
      <w:r w:rsidRPr="004E314C">
        <w:rPr>
          <w:b/>
        </w:rPr>
        <w:t>Key words:</w:t>
      </w:r>
      <w:r w:rsidRPr="004E314C">
        <w:t xml:space="preserve"> - Photoluminescence, Phosphor </w:t>
      </w:r>
      <w:r w:rsidRPr="00D441B5">
        <w:rPr>
          <w:bCs/>
          <w:iCs/>
        </w:rPr>
        <w:t>rare-earth ions</w:t>
      </w:r>
      <w:r w:rsidRPr="004E314C">
        <w:t>, X-ray diffraction [XRD], Scanning Electron Microscopy [SEM], Energy Dispersion Spectrum</w:t>
      </w:r>
      <w:r w:rsidRPr="004E314C">
        <w:rPr>
          <w:lang w:val="en-GB"/>
        </w:rPr>
        <w:t xml:space="preserve"> [EDS], </w:t>
      </w:r>
      <w:r w:rsidRPr="004E314C">
        <w:t>Solid State Reaction technique</w:t>
      </w:r>
    </w:p>
    <w:p w:rsidR="00814131" w:rsidRDefault="00814131" w:rsidP="00814131">
      <w:pPr>
        <w:autoSpaceDE w:val="0"/>
        <w:autoSpaceDN w:val="0"/>
        <w:adjustRightInd w:val="0"/>
        <w:spacing w:line="360" w:lineRule="auto"/>
        <w:jc w:val="both"/>
      </w:pPr>
    </w:p>
    <w:p w:rsidR="00814131" w:rsidRPr="004E314C" w:rsidRDefault="00814131" w:rsidP="00814131">
      <w:pPr>
        <w:autoSpaceDE w:val="0"/>
        <w:autoSpaceDN w:val="0"/>
        <w:adjustRightInd w:val="0"/>
        <w:spacing w:line="360" w:lineRule="auto"/>
        <w:jc w:val="both"/>
      </w:pPr>
    </w:p>
    <w:p w:rsidR="00814131" w:rsidRPr="00383155" w:rsidRDefault="00814131" w:rsidP="00814131">
      <w:pPr>
        <w:spacing w:line="360" w:lineRule="auto"/>
        <w:rPr>
          <w:b/>
          <w:sz w:val="28"/>
          <w:szCs w:val="28"/>
        </w:rPr>
      </w:pPr>
      <w:r w:rsidRPr="00383155">
        <w:rPr>
          <w:b/>
          <w:sz w:val="28"/>
          <w:szCs w:val="28"/>
        </w:rPr>
        <w:lastRenderedPageBreak/>
        <w:t>1. Introduction</w:t>
      </w:r>
      <w:r>
        <w:rPr>
          <w:b/>
          <w:sz w:val="28"/>
          <w:szCs w:val="28"/>
        </w:rPr>
        <w:t>:</w:t>
      </w:r>
    </w:p>
    <w:p w:rsidR="00814131" w:rsidRPr="00383155" w:rsidRDefault="00814131" w:rsidP="00814131">
      <w:pPr>
        <w:spacing w:line="360" w:lineRule="auto"/>
        <w:jc w:val="both"/>
        <w:rPr>
          <w:b/>
        </w:rPr>
      </w:pPr>
      <w:r w:rsidRPr="00383155">
        <w:t>Aluminate compounds haven been utilized as host materials of lamp phosphors for many years, Due to their relatively low material cost, and reasonable stability these are used in lamp application. The development of the first synthesized aluminates  phosphor can be traced back to 1970. In the 1980’s rare-earth-activated aluminate phosphors were practically used in (BAM: Eu) fluorescent lamps. This was the first application of rare-earth-activated aluminates in tri band fluorescent lamps and represented a landmark in this history of fluorescent lamp development.</w:t>
      </w:r>
    </w:p>
    <w:p w:rsidR="00814131" w:rsidRPr="00383155" w:rsidRDefault="00814131" w:rsidP="00814131">
      <w:pPr>
        <w:spacing w:line="360" w:lineRule="auto"/>
        <w:ind w:firstLine="720"/>
        <w:jc w:val="both"/>
      </w:pPr>
      <w:r w:rsidRPr="00383155">
        <w:t xml:space="preserve">Recently various phosphor materials have been actively investigated to improve their luminescent properties and to meet the development of different display and luminescence devices. </w:t>
      </w:r>
      <w:r w:rsidRPr="00383155">
        <w:rPr>
          <w:color w:val="231F20"/>
        </w:rPr>
        <w:t>There is very much interesting in light emitting diodes (LEDs) with emission wavelengths in the ultraviolet</w:t>
      </w:r>
      <w:r w:rsidRPr="00383155">
        <w:rPr>
          <w:b/>
          <w:bCs/>
          <w:color w:val="231F20"/>
        </w:rPr>
        <w:t>-</w:t>
      </w:r>
      <w:r w:rsidRPr="00383155">
        <w:rPr>
          <w:color w:val="231F20"/>
        </w:rPr>
        <w:t>to</w:t>
      </w:r>
      <w:r w:rsidRPr="00383155">
        <w:rPr>
          <w:b/>
          <w:bCs/>
          <w:color w:val="231F20"/>
        </w:rPr>
        <w:t>-</w:t>
      </w:r>
      <w:r w:rsidRPr="00383155">
        <w:rPr>
          <w:color w:val="231F20"/>
        </w:rPr>
        <w:t>infrared range.</w:t>
      </w:r>
      <w:r w:rsidRPr="00383155">
        <w:t xml:space="preserve"> LED technology has flourished for the past few decades. High efficiency, reliability, rugged construction, low power consumption and durability are among the key factors for the rapid development of the solid-state lighting based on high-brightness visible LEDs. In this context, the search for stable, inorganic rare-earth-based phosphors with high absorption in the yellow and orange spectral region is an attractive research task. The white LEDs have several advantages over the conventional incandescent and fluorescent lamps due to its high power efficiency, long lifetime, non-pollution and flexibility in design process. This composition could be considered as an alternative approach due to advantages such as lower production cost, simpler manufacture procedure, non- hygroscopic and environmental-friendly characteristics. </w:t>
      </w:r>
    </w:p>
    <w:p w:rsidR="00814131" w:rsidRDefault="00814131" w:rsidP="00814131">
      <w:pPr>
        <w:spacing w:after="120" w:line="360" w:lineRule="auto"/>
        <w:jc w:val="both"/>
      </w:pPr>
    </w:p>
    <w:p w:rsidR="00814131" w:rsidRPr="00383155" w:rsidRDefault="00814131" w:rsidP="00814131">
      <w:pPr>
        <w:spacing w:line="360" w:lineRule="auto"/>
        <w:jc w:val="both"/>
        <w:rPr>
          <w:b/>
          <w:sz w:val="28"/>
          <w:szCs w:val="28"/>
        </w:rPr>
      </w:pPr>
      <w:r w:rsidRPr="00383155">
        <w:rPr>
          <w:b/>
          <w:sz w:val="28"/>
          <w:szCs w:val="28"/>
        </w:rPr>
        <w:t xml:space="preserve">2. </w:t>
      </w:r>
      <w:r w:rsidRPr="00383155">
        <w:rPr>
          <w:b/>
          <w:bCs/>
          <w:sz w:val="28"/>
          <w:szCs w:val="28"/>
        </w:rPr>
        <w:t>MATERIALS AND EXPERIMENTAL METHODS:</w:t>
      </w:r>
    </w:p>
    <w:p w:rsidR="00814131" w:rsidRPr="00383155" w:rsidRDefault="00814131" w:rsidP="00814131">
      <w:pPr>
        <w:pStyle w:val="Default"/>
        <w:spacing w:line="360" w:lineRule="auto"/>
        <w:jc w:val="both"/>
      </w:pPr>
      <w:r w:rsidRPr="00383155">
        <w:t xml:space="preserve">All the chemical reagents were analytically pure and used without further purification. </w:t>
      </w:r>
      <w:r w:rsidRPr="00383155">
        <w:rPr>
          <w:b/>
          <w:lang w:val="en-GB"/>
        </w:rPr>
        <w:t>Al</w:t>
      </w:r>
      <w:r w:rsidRPr="00383155">
        <w:rPr>
          <w:b/>
          <w:vertAlign w:val="subscript"/>
          <w:lang w:val="en-GB"/>
        </w:rPr>
        <w:t>2</w:t>
      </w:r>
      <w:r w:rsidRPr="00383155">
        <w:rPr>
          <w:b/>
          <w:lang w:val="en-GB"/>
        </w:rPr>
        <w:t>Sr</w:t>
      </w:r>
      <w:r w:rsidRPr="00383155">
        <w:rPr>
          <w:b/>
          <w:vertAlign w:val="subscript"/>
          <w:lang w:val="en-GB"/>
        </w:rPr>
        <w:t>2</w:t>
      </w:r>
      <w:r w:rsidRPr="00383155">
        <w:rPr>
          <w:b/>
          <w:lang w:val="en-GB"/>
        </w:rPr>
        <w:t>La</w:t>
      </w:r>
      <w:r w:rsidRPr="00383155">
        <w:rPr>
          <w:b/>
          <w:vertAlign w:val="subscript"/>
          <w:lang w:val="en-GB"/>
        </w:rPr>
        <w:t>2</w:t>
      </w:r>
      <w:r w:rsidRPr="00383155">
        <w:rPr>
          <w:b/>
          <w:lang w:val="en-GB"/>
        </w:rPr>
        <w:t>O</w:t>
      </w:r>
      <w:r w:rsidRPr="00383155">
        <w:rPr>
          <w:b/>
          <w:vertAlign w:val="subscript"/>
          <w:lang w:val="en-GB"/>
        </w:rPr>
        <w:t xml:space="preserve">8 </w:t>
      </w:r>
      <w:r w:rsidRPr="00383155">
        <w:rPr>
          <w:b/>
          <w:lang w:val="en-GB"/>
        </w:rPr>
        <w:t xml:space="preserve">:Eu, </w:t>
      </w:r>
      <w:r w:rsidRPr="00383155">
        <w:t>Tb phosphor samples were prepared by the conventional solid state reaction method.  Aluminum oxide(Al</w:t>
      </w:r>
      <w:r w:rsidRPr="00383155">
        <w:rPr>
          <w:vertAlign w:val="subscript"/>
        </w:rPr>
        <w:t>2</w:t>
      </w:r>
      <w:r w:rsidRPr="00383155">
        <w:t>O</w:t>
      </w:r>
      <w:r w:rsidRPr="00383155">
        <w:rPr>
          <w:vertAlign w:val="subscript"/>
        </w:rPr>
        <w:t>3</w:t>
      </w:r>
      <w:r w:rsidRPr="00383155">
        <w:t>), Strontium carbonate(SrCO</w:t>
      </w:r>
      <w:r w:rsidRPr="00383155">
        <w:rPr>
          <w:vertAlign w:val="subscript"/>
        </w:rPr>
        <w:t>3</w:t>
      </w:r>
      <w:r w:rsidRPr="00383155">
        <w:t>), Lanthanum oxide(La</w:t>
      </w:r>
      <w:r w:rsidRPr="00383155">
        <w:rPr>
          <w:vertAlign w:val="subscript"/>
        </w:rPr>
        <w:t>2</w:t>
      </w:r>
      <w:r w:rsidRPr="00383155">
        <w:t>O</w:t>
      </w:r>
      <w:r w:rsidRPr="00383155">
        <w:rPr>
          <w:vertAlign w:val="subscript"/>
        </w:rPr>
        <w:t>3</w:t>
      </w:r>
      <w:r w:rsidRPr="00383155">
        <w:t>) were taken as raw materials for the host and the molar ratio of rare earths Europium oxide(Eu</w:t>
      </w:r>
      <w:r w:rsidRPr="00383155">
        <w:rPr>
          <w:vertAlign w:val="subscript"/>
        </w:rPr>
        <w:t>2</w:t>
      </w:r>
      <w:r w:rsidRPr="00383155">
        <w:t>O</w:t>
      </w:r>
      <w:r w:rsidRPr="00383155">
        <w:rPr>
          <w:vertAlign w:val="subscript"/>
        </w:rPr>
        <w:t>3</w:t>
      </w:r>
      <w:r w:rsidRPr="00383155">
        <w:t>) and Terbium oxide(Tb</w:t>
      </w:r>
      <w:r w:rsidRPr="00383155">
        <w:rPr>
          <w:vertAlign w:val="subscript"/>
        </w:rPr>
        <w:t>4</w:t>
      </w:r>
      <w:r w:rsidRPr="00383155">
        <w:t>O</w:t>
      </w:r>
      <w:r w:rsidRPr="00383155">
        <w:rPr>
          <w:vertAlign w:val="subscript"/>
        </w:rPr>
        <w:t>7</w:t>
      </w:r>
      <w:r w:rsidRPr="00383155">
        <w:t xml:space="preserve">)  are taken as activator ion which is doped in host at different concentrations. The base materials and activator were mixed and ground thoroughly using agate mortar and pestle prior to this all the materials are weighed as per the required quantities. Acetone is added to get uniform mixing of the oxides while grinding using agate mortar and pestle for 30 minutes. </w:t>
      </w:r>
      <w:r w:rsidRPr="00383155">
        <w:rPr>
          <w:lang w:val="en-GB"/>
        </w:rPr>
        <w:t>Al</w:t>
      </w:r>
      <w:r w:rsidRPr="00383155">
        <w:rPr>
          <w:vertAlign w:val="subscript"/>
          <w:lang w:val="en-GB"/>
        </w:rPr>
        <w:t>2</w:t>
      </w:r>
      <w:r w:rsidRPr="00383155">
        <w:rPr>
          <w:lang w:val="en-GB"/>
        </w:rPr>
        <w:t>Sr</w:t>
      </w:r>
      <w:r w:rsidRPr="00383155">
        <w:rPr>
          <w:vertAlign w:val="subscript"/>
          <w:lang w:val="en-GB"/>
        </w:rPr>
        <w:t>2</w:t>
      </w:r>
      <w:r w:rsidRPr="00383155">
        <w:rPr>
          <w:lang w:val="en-GB"/>
        </w:rPr>
        <w:t>La</w:t>
      </w:r>
      <w:r w:rsidRPr="00383155">
        <w:rPr>
          <w:vertAlign w:val="subscript"/>
          <w:lang w:val="en-GB"/>
        </w:rPr>
        <w:t>2</w:t>
      </w:r>
      <w:r w:rsidRPr="00383155">
        <w:rPr>
          <w:lang w:val="en-GB"/>
        </w:rPr>
        <w:t>O</w:t>
      </w:r>
      <w:r w:rsidRPr="00383155">
        <w:rPr>
          <w:vertAlign w:val="subscript"/>
          <w:lang w:val="en-GB"/>
        </w:rPr>
        <w:t xml:space="preserve">8 </w:t>
      </w:r>
      <w:r w:rsidRPr="00383155">
        <w:rPr>
          <w:lang w:val="en-GB"/>
        </w:rPr>
        <w:t>: Eu</w:t>
      </w:r>
      <w:r w:rsidRPr="00383155">
        <w:t xml:space="preserve"> Phosphor is synthesized using </w:t>
      </w:r>
      <w:r w:rsidRPr="00383155">
        <w:lastRenderedPageBreak/>
        <w:t xml:space="preserve">standard solid state reaction with varying Tb (0.1, 0.2, 0.3, 0.4, 0.7, 1.0, 1.5, 2.0 and 2.5%) molar concentration. To prepare Aluminum Strontium Lanthanate (ASL:Eu) doped with various concentrations of Tb, consists of  heating stoichiometric amounts of reactants at 1200°C for 2 hours in a muffle furnace. The phosphor materials were cooled to room temperature naturally. </w:t>
      </w:r>
      <w:r>
        <w:t xml:space="preserve"> </w:t>
      </w:r>
      <w:r w:rsidRPr="00383155">
        <w:t>The received powder being ground thoroughly using an agate mortar, to ensure the best homogeneity and reactivity. All the phosphor samples were characterized by X-ray diffraction using (Synchrotron Beam Indus -II).  The Photoluminescence (PL) emission and excitation spectra were measured by Spectrofluorophotometer (SHIMADZU, RF-5301 PC) using Xenon lamp as excitation source at display research Lab, Department of Applied Physics, Faculty of Technology and Engg., M.S.University, Baroda. The emission and excitation slit were kept at 1.5 nm, recorded at room temperature.</w:t>
      </w:r>
    </w:p>
    <w:p w:rsidR="00814131" w:rsidRDefault="00814131" w:rsidP="00814131">
      <w:pPr>
        <w:pStyle w:val="BodyText"/>
        <w:spacing w:line="360" w:lineRule="auto"/>
        <w:rPr>
          <w:rFonts w:cs="Times New Roman"/>
          <w:sz w:val="24"/>
          <w:szCs w:val="24"/>
        </w:rPr>
      </w:pPr>
    </w:p>
    <w:p w:rsidR="00814131" w:rsidRDefault="00814131" w:rsidP="00814131">
      <w:pPr>
        <w:pStyle w:val="BodyText"/>
        <w:spacing w:line="360" w:lineRule="auto"/>
        <w:jc w:val="center"/>
        <w:rPr>
          <w:rFonts w:cs="Times New Roman"/>
          <w:sz w:val="24"/>
          <w:szCs w:val="24"/>
        </w:rPr>
      </w:pPr>
      <w:r w:rsidRPr="00C52B22">
        <w:rPr>
          <w:rFonts w:cs="Times New Roman"/>
          <w:sz w:val="24"/>
          <w:szCs w:val="24"/>
        </w:rPr>
        <w:t xml:space="preserve">Basic Reaction of the </w:t>
      </w:r>
      <w:r w:rsidRPr="00D128E3">
        <w:rPr>
          <w:rFonts w:cs="Times New Roman"/>
          <w:sz w:val="24"/>
          <w:szCs w:val="24"/>
        </w:rPr>
        <w:t>Al</w:t>
      </w:r>
      <w:r w:rsidRPr="00D128E3">
        <w:rPr>
          <w:rFonts w:cs="Times New Roman"/>
          <w:sz w:val="24"/>
          <w:szCs w:val="24"/>
          <w:vertAlign w:val="subscript"/>
        </w:rPr>
        <w:t>2</w:t>
      </w:r>
      <w:r w:rsidRPr="00D128E3">
        <w:rPr>
          <w:rFonts w:cs="Times New Roman"/>
          <w:sz w:val="24"/>
          <w:szCs w:val="24"/>
        </w:rPr>
        <w:t>Sr</w:t>
      </w:r>
      <w:r w:rsidRPr="00D128E3">
        <w:rPr>
          <w:rFonts w:cs="Times New Roman"/>
          <w:sz w:val="24"/>
          <w:szCs w:val="24"/>
          <w:vertAlign w:val="subscript"/>
        </w:rPr>
        <w:t>2</w:t>
      </w:r>
      <w:r w:rsidRPr="00D128E3">
        <w:rPr>
          <w:rFonts w:cs="Times New Roman"/>
          <w:sz w:val="24"/>
          <w:szCs w:val="24"/>
        </w:rPr>
        <w:t>La</w:t>
      </w:r>
      <w:r w:rsidRPr="00D128E3">
        <w:rPr>
          <w:rFonts w:cs="Times New Roman"/>
          <w:sz w:val="24"/>
          <w:szCs w:val="24"/>
          <w:vertAlign w:val="subscript"/>
        </w:rPr>
        <w:t>2</w:t>
      </w:r>
      <w:r w:rsidRPr="00D128E3">
        <w:rPr>
          <w:rFonts w:cs="Times New Roman"/>
          <w:sz w:val="24"/>
          <w:szCs w:val="24"/>
        </w:rPr>
        <w:t>O</w:t>
      </w:r>
      <w:r w:rsidRPr="00D128E3">
        <w:rPr>
          <w:rFonts w:cs="Times New Roman"/>
          <w:sz w:val="24"/>
          <w:szCs w:val="24"/>
          <w:vertAlign w:val="subscript"/>
        </w:rPr>
        <w:t>8</w:t>
      </w:r>
      <w:r w:rsidRPr="00C52B22">
        <w:rPr>
          <w:rFonts w:cs="Times New Roman"/>
          <w:sz w:val="24"/>
          <w:szCs w:val="24"/>
        </w:rPr>
        <w:t xml:space="preserve">: </w:t>
      </w:r>
      <w:r>
        <w:rPr>
          <w:rFonts w:cs="Times New Roman"/>
          <w:sz w:val="24"/>
          <w:szCs w:val="24"/>
        </w:rPr>
        <w:t>Eu Tb</w:t>
      </w:r>
      <w:r w:rsidRPr="00C52B22">
        <w:rPr>
          <w:rFonts w:cs="Times New Roman"/>
          <w:sz w:val="24"/>
          <w:szCs w:val="24"/>
          <w:vertAlign w:val="subscript"/>
        </w:rPr>
        <w:t>x</w:t>
      </w:r>
      <w:r w:rsidRPr="00C52B22">
        <w:rPr>
          <w:rFonts w:cs="Times New Roman"/>
          <w:sz w:val="24"/>
          <w:szCs w:val="24"/>
        </w:rPr>
        <w:t xml:space="preserve"> phosphors:</w:t>
      </w:r>
    </w:p>
    <w:p w:rsidR="00814131" w:rsidRPr="00C52B22" w:rsidRDefault="00814131" w:rsidP="00814131">
      <w:pPr>
        <w:pStyle w:val="BodyText"/>
        <w:spacing w:line="360" w:lineRule="auto"/>
        <w:rPr>
          <w:rFonts w:cs="Times New Roman"/>
          <w:sz w:val="24"/>
          <w:szCs w:val="24"/>
        </w:rPr>
      </w:pPr>
    </w:p>
    <w:p w:rsidR="00814131" w:rsidRPr="00C52B22" w:rsidRDefault="00814131" w:rsidP="00814131">
      <w:pPr>
        <w:pStyle w:val="BodyTextIndent"/>
        <w:spacing w:after="0"/>
        <w:rPr>
          <w:rFonts w:cs="Times New Roman"/>
          <w:sz w:val="24"/>
          <w:szCs w:val="24"/>
        </w:rPr>
      </w:pPr>
      <w:r w:rsidRPr="00C52B22">
        <w:rPr>
          <w:rFonts w:cs="Times New Roman"/>
          <w:sz w:val="24"/>
          <w:szCs w:val="24"/>
        </w:rPr>
        <w:t xml:space="preserve">                                                          </w:t>
      </w:r>
      <w:r w:rsidRPr="00C52B22">
        <w:rPr>
          <w:rFonts w:cs="Times New Roman"/>
          <w:sz w:val="24"/>
          <w:szCs w:val="24"/>
        </w:rPr>
        <w:tab/>
        <w:t xml:space="preserve">1200 </w:t>
      </w:r>
      <w:r w:rsidRPr="00C52B22">
        <w:rPr>
          <w:rFonts w:cs="Times New Roman"/>
          <w:sz w:val="24"/>
          <w:szCs w:val="24"/>
          <w:vertAlign w:val="superscript"/>
        </w:rPr>
        <w:t>o</w:t>
      </w:r>
      <w:r w:rsidRPr="00C52B22">
        <w:rPr>
          <w:rFonts w:cs="Times New Roman"/>
          <w:sz w:val="24"/>
          <w:szCs w:val="24"/>
        </w:rPr>
        <w:t>C, 2 Hrs</w:t>
      </w:r>
    </w:p>
    <w:p w:rsidR="00814131" w:rsidRPr="00C52B22" w:rsidRDefault="00814131" w:rsidP="00814131">
      <w:pPr>
        <w:pStyle w:val="Heading1"/>
        <w:tabs>
          <w:tab w:val="clear" w:pos="432"/>
          <w:tab w:val="num" w:pos="0"/>
        </w:tabs>
        <w:jc w:val="both"/>
        <w:rPr>
          <w:rFonts w:cs="Times New Roman"/>
          <w:sz w:val="24"/>
          <w:szCs w:val="24"/>
        </w:rPr>
      </w:pPr>
      <w:r w:rsidRPr="00735C82">
        <w:rPr>
          <w:rFonts w:cs="Times New Roman"/>
          <w:sz w:val="24"/>
          <w:szCs w:val="24"/>
        </w:rPr>
        <w:pict>
          <v:line id="_x0000_s1026" style="position:absolute;left:0;text-align:left;z-index:251661312" from="216.05pt,8.4pt" to="296.5pt,8.4pt" strokeweight=".26mm">
            <v:stroke endarrow="block" joinstyle="miter"/>
          </v:line>
        </w:pict>
      </w:r>
      <w:r w:rsidRPr="00C52B22">
        <w:rPr>
          <w:rFonts w:cs="Times New Roman"/>
          <w:sz w:val="24"/>
          <w:szCs w:val="24"/>
        </w:rPr>
        <w:t xml:space="preserve"> Al</w:t>
      </w:r>
      <w:r w:rsidRPr="00C52B22">
        <w:rPr>
          <w:rFonts w:cs="Times New Roman"/>
          <w:sz w:val="24"/>
          <w:szCs w:val="24"/>
          <w:vertAlign w:val="subscript"/>
        </w:rPr>
        <w:t>2</w:t>
      </w:r>
      <w:r w:rsidRPr="00C52B22">
        <w:rPr>
          <w:rFonts w:cs="Times New Roman"/>
          <w:sz w:val="24"/>
          <w:szCs w:val="24"/>
        </w:rPr>
        <w:t>O</w:t>
      </w:r>
      <w:r w:rsidRPr="00C52B22">
        <w:rPr>
          <w:rFonts w:cs="Times New Roman"/>
          <w:sz w:val="24"/>
          <w:szCs w:val="24"/>
          <w:vertAlign w:val="subscript"/>
        </w:rPr>
        <w:t>3</w:t>
      </w:r>
      <w:r w:rsidRPr="00C52B22">
        <w:rPr>
          <w:rFonts w:cs="Times New Roman"/>
          <w:sz w:val="24"/>
          <w:szCs w:val="24"/>
        </w:rPr>
        <w:t xml:space="preserve"> + La</w:t>
      </w:r>
      <w:r w:rsidRPr="00C52B22">
        <w:rPr>
          <w:rFonts w:cs="Times New Roman"/>
          <w:sz w:val="24"/>
          <w:szCs w:val="24"/>
          <w:vertAlign w:val="subscript"/>
        </w:rPr>
        <w:t>2</w:t>
      </w:r>
      <w:r w:rsidRPr="00C52B22">
        <w:rPr>
          <w:rFonts w:cs="Times New Roman"/>
          <w:sz w:val="24"/>
          <w:szCs w:val="24"/>
        </w:rPr>
        <w:t>O</w:t>
      </w:r>
      <w:r w:rsidRPr="00C52B22">
        <w:rPr>
          <w:rFonts w:cs="Times New Roman"/>
          <w:sz w:val="24"/>
          <w:szCs w:val="24"/>
          <w:vertAlign w:val="subscript"/>
        </w:rPr>
        <w:t>3</w:t>
      </w:r>
      <w:r w:rsidRPr="00C52B22">
        <w:rPr>
          <w:rFonts w:cs="Times New Roman"/>
          <w:sz w:val="24"/>
          <w:szCs w:val="24"/>
        </w:rPr>
        <w:t xml:space="preserve"> + 2SrCO</w:t>
      </w:r>
      <w:r w:rsidRPr="00C52B22">
        <w:rPr>
          <w:rFonts w:cs="Times New Roman"/>
          <w:sz w:val="24"/>
          <w:szCs w:val="24"/>
          <w:vertAlign w:val="subscript"/>
        </w:rPr>
        <w:t xml:space="preserve">3 </w:t>
      </w:r>
      <w:r w:rsidRPr="00C52B22">
        <w:rPr>
          <w:rFonts w:cs="Times New Roman"/>
          <w:sz w:val="24"/>
          <w:szCs w:val="24"/>
        </w:rPr>
        <w:t>+ Eu</w:t>
      </w:r>
      <w:r w:rsidRPr="00C52B22">
        <w:rPr>
          <w:rFonts w:cs="Times New Roman"/>
          <w:sz w:val="24"/>
          <w:szCs w:val="24"/>
          <w:vertAlign w:val="subscript"/>
        </w:rPr>
        <w:t>2</w:t>
      </w:r>
      <w:r w:rsidRPr="00C52B22">
        <w:rPr>
          <w:rFonts w:cs="Times New Roman"/>
          <w:sz w:val="24"/>
          <w:szCs w:val="24"/>
        </w:rPr>
        <w:t>O</w:t>
      </w:r>
      <w:r w:rsidRPr="00C52B22">
        <w:rPr>
          <w:rFonts w:cs="Times New Roman"/>
          <w:sz w:val="24"/>
          <w:szCs w:val="24"/>
          <w:vertAlign w:val="subscript"/>
        </w:rPr>
        <w:t>3</w:t>
      </w:r>
      <w:r w:rsidRPr="00C52B22">
        <w:rPr>
          <w:rFonts w:cs="Times New Roman"/>
          <w:sz w:val="24"/>
          <w:szCs w:val="24"/>
        </w:rPr>
        <w:t xml:space="preserve"> + </w:t>
      </w:r>
      <w:r>
        <w:rPr>
          <w:rFonts w:cs="Times New Roman"/>
          <w:sz w:val="24"/>
          <w:szCs w:val="24"/>
        </w:rPr>
        <w:t>Tb</w:t>
      </w:r>
      <w:r w:rsidRPr="00C52B22">
        <w:rPr>
          <w:rFonts w:cs="Times New Roman"/>
          <w:sz w:val="24"/>
          <w:szCs w:val="24"/>
          <w:vertAlign w:val="subscript"/>
        </w:rPr>
        <w:t>2</w:t>
      </w:r>
      <w:r w:rsidRPr="00C52B22">
        <w:rPr>
          <w:rFonts w:cs="Times New Roman"/>
          <w:sz w:val="24"/>
          <w:szCs w:val="24"/>
        </w:rPr>
        <w:t>O</w:t>
      </w:r>
      <w:r w:rsidRPr="00C52B22">
        <w:rPr>
          <w:rFonts w:cs="Times New Roman"/>
          <w:sz w:val="24"/>
          <w:szCs w:val="24"/>
          <w:vertAlign w:val="subscript"/>
        </w:rPr>
        <w:t>3</w:t>
      </w:r>
      <w:r w:rsidRPr="00C52B22">
        <w:rPr>
          <w:rFonts w:cs="Times New Roman"/>
          <w:sz w:val="24"/>
          <w:szCs w:val="24"/>
        </w:rPr>
        <w:t xml:space="preserve">                                  </w:t>
      </w:r>
      <w:r w:rsidRPr="00D128E3">
        <w:rPr>
          <w:rFonts w:cs="Times New Roman"/>
          <w:sz w:val="24"/>
          <w:szCs w:val="24"/>
        </w:rPr>
        <w:t>Al</w:t>
      </w:r>
      <w:r w:rsidRPr="00D128E3">
        <w:rPr>
          <w:rFonts w:cs="Times New Roman"/>
          <w:sz w:val="24"/>
          <w:szCs w:val="24"/>
          <w:vertAlign w:val="subscript"/>
        </w:rPr>
        <w:t>2</w:t>
      </w:r>
      <w:r w:rsidRPr="00D128E3">
        <w:rPr>
          <w:rFonts w:cs="Times New Roman"/>
          <w:sz w:val="24"/>
          <w:szCs w:val="24"/>
        </w:rPr>
        <w:t>Sr</w:t>
      </w:r>
      <w:r w:rsidRPr="00D128E3">
        <w:rPr>
          <w:rFonts w:cs="Times New Roman"/>
          <w:sz w:val="24"/>
          <w:szCs w:val="24"/>
          <w:vertAlign w:val="subscript"/>
        </w:rPr>
        <w:t>2</w:t>
      </w:r>
      <w:r w:rsidRPr="00D128E3">
        <w:rPr>
          <w:rFonts w:cs="Times New Roman"/>
          <w:sz w:val="24"/>
          <w:szCs w:val="24"/>
        </w:rPr>
        <w:t>La</w:t>
      </w:r>
      <w:r w:rsidRPr="00D128E3">
        <w:rPr>
          <w:rFonts w:cs="Times New Roman"/>
          <w:sz w:val="24"/>
          <w:szCs w:val="24"/>
          <w:vertAlign w:val="subscript"/>
        </w:rPr>
        <w:t>2</w:t>
      </w:r>
      <w:r w:rsidRPr="00D128E3">
        <w:rPr>
          <w:rFonts w:cs="Times New Roman"/>
          <w:sz w:val="24"/>
          <w:szCs w:val="24"/>
        </w:rPr>
        <w:t>O</w:t>
      </w:r>
      <w:r w:rsidRPr="00D128E3">
        <w:rPr>
          <w:rFonts w:cs="Times New Roman"/>
          <w:sz w:val="24"/>
          <w:szCs w:val="24"/>
          <w:vertAlign w:val="subscript"/>
        </w:rPr>
        <w:t>8</w:t>
      </w:r>
      <w:r w:rsidRPr="00C52B22">
        <w:rPr>
          <w:rFonts w:cs="Times New Roman"/>
          <w:sz w:val="24"/>
          <w:szCs w:val="24"/>
        </w:rPr>
        <w:t xml:space="preserve">: Eu, </w:t>
      </w:r>
      <w:r>
        <w:rPr>
          <w:rFonts w:cs="Times New Roman"/>
          <w:sz w:val="24"/>
          <w:szCs w:val="24"/>
        </w:rPr>
        <w:t>Tb</w:t>
      </w:r>
    </w:p>
    <w:p w:rsidR="00814131" w:rsidRPr="00C52B22" w:rsidRDefault="00814131" w:rsidP="00814131">
      <w:pPr>
        <w:pStyle w:val="BodyText"/>
        <w:rPr>
          <w:rFonts w:cs="Times New Roman"/>
          <w:b w:val="0"/>
          <w:sz w:val="24"/>
          <w:szCs w:val="24"/>
        </w:rPr>
      </w:pPr>
      <w:r w:rsidRPr="00C52B22">
        <w:rPr>
          <w:rFonts w:cs="Times New Roman"/>
          <w:b w:val="0"/>
          <w:sz w:val="24"/>
          <w:szCs w:val="24"/>
        </w:rPr>
        <w:t xml:space="preserve">                                                                     </w:t>
      </w:r>
      <w:r w:rsidRPr="00C52B22">
        <w:rPr>
          <w:rFonts w:cs="Times New Roman"/>
          <w:b w:val="0"/>
          <w:sz w:val="24"/>
          <w:szCs w:val="24"/>
        </w:rPr>
        <w:tab/>
        <w:t xml:space="preserve">        Air</w:t>
      </w:r>
    </w:p>
    <w:p w:rsidR="00814131" w:rsidRDefault="00814131" w:rsidP="00814131">
      <w:pPr>
        <w:pStyle w:val="BodyText"/>
        <w:spacing w:line="360" w:lineRule="auto"/>
        <w:rPr>
          <w:rFonts w:cs="Times New Roman"/>
          <w:sz w:val="24"/>
          <w:szCs w:val="24"/>
        </w:rPr>
      </w:pPr>
    </w:p>
    <w:p w:rsidR="00814131" w:rsidRDefault="00814131" w:rsidP="00814131"/>
    <w:p w:rsidR="00814131" w:rsidRDefault="00814131" w:rsidP="00814131">
      <w:pPr>
        <w:tabs>
          <w:tab w:val="left" w:pos="2850"/>
        </w:tabs>
        <w:jc w:val="both"/>
        <w:rPr>
          <w:b/>
          <w:sz w:val="28"/>
          <w:szCs w:val="28"/>
        </w:rPr>
      </w:pPr>
      <w:r w:rsidRPr="00383155">
        <w:rPr>
          <w:b/>
          <w:sz w:val="28"/>
          <w:szCs w:val="28"/>
        </w:rPr>
        <w:t>3. Results and Discussions:</w:t>
      </w:r>
    </w:p>
    <w:p w:rsidR="00814131" w:rsidRPr="00383155" w:rsidRDefault="00814131" w:rsidP="00814131">
      <w:pPr>
        <w:tabs>
          <w:tab w:val="left" w:pos="2850"/>
        </w:tabs>
        <w:jc w:val="both"/>
        <w:rPr>
          <w:b/>
          <w:sz w:val="28"/>
          <w:szCs w:val="28"/>
        </w:rPr>
      </w:pPr>
    </w:p>
    <w:p w:rsidR="00814131" w:rsidRPr="00383155" w:rsidRDefault="00814131" w:rsidP="00814131">
      <w:pPr>
        <w:tabs>
          <w:tab w:val="left" w:pos="2850"/>
        </w:tabs>
        <w:jc w:val="both"/>
        <w:rPr>
          <w:b/>
          <w:sz w:val="28"/>
          <w:szCs w:val="28"/>
        </w:rPr>
      </w:pPr>
      <w:r w:rsidRPr="00383155">
        <w:rPr>
          <w:b/>
          <w:sz w:val="28"/>
          <w:szCs w:val="28"/>
        </w:rPr>
        <w:t>3.1 Photoluminescence studies  of  Tb</w:t>
      </w:r>
      <w:r w:rsidRPr="00383155">
        <w:rPr>
          <w:b/>
          <w:sz w:val="28"/>
          <w:szCs w:val="28"/>
          <w:vertAlign w:val="superscript"/>
        </w:rPr>
        <w:t>3+</w:t>
      </w:r>
      <w:r w:rsidRPr="00383155">
        <w:rPr>
          <w:b/>
          <w:sz w:val="28"/>
          <w:szCs w:val="28"/>
        </w:rPr>
        <w:t xml:space="preserve"> doped Al</w:t>
      </w:r>
      <w:r w:rsidRPr="00383155">
        <w:rPr>
          <w:b/>
          <w:sz w:val="28"/>
          <w:szCs w:val="28"/>
          <w:vertAlign w:val="subscript"/>
        </w:rPr>
        <w:t>2</w:t>
      </w:r>
      <w:r w:rsidRPr="00383155">
        <w:rPr>
          <w:b/>
          <w:sz w:val="28"/>
          <w:szCs w:val="28"/>
        </w:rPr>
        <w:t>Sr</w:t>
      </w:r>
      <w:r w:rsidRPr="00383155">
        <w:rPr>
          <w:b/>
          <w:sz w:val="28"/>
          <w:szCs w:val="28"/>
          <w:vertAlign w:val="subscript"/>
        </w:rPr>
        <w:t>2</w:t>
      </w:r>
      <w:r w:rsidRPr="00383155">
        <w:rPr>
          <w:b/>
          <w:sz w:val="28"/>
          <w:szCs w:val="28"/>
        </w:rPr>
        <w:t>La</w:t>
      </w:r>
      <w:r w:rsidRPr="00383155">
        <w:rPr>
          <w:b/>
          <w:sz w:val="28"/>
          <w:szCs w:val="28"/>
          <w:vertAlign w:val="subscript"/>
        </w:rPr>
        <w:t>2</w:t>
      </w:r>
      <w:r w:rsidRPr="00383155">
        <w:rPr>
          <w:b/>
          <w:sz w:val="28"/>
          <w:szCs w:val="28"/>
        </w:rPr>
        <w:t>O</w:t>
      </w:r>
      <w:r w:rsidRPr="00383155">
        <w:rPr>
          <w:b/>
          <w:sz w:val="28"/>
          <w:szCs w:val="28"/>
          <w:vertAlign w:val="subscript"/>
        </w:rPr>
        <w:t>8</w:t>
      </w:r>
      <w:r w:rsidRPr="00383155">
        <w:rPr>
          <w:b/>
          <w:sz w:val="28"/>
          <w:szCs w:val="28"/>
        </w:rPr>
        <w:t xml:space="preserve"> :Eu</w:t>
      </w:r>
      <w:r w:rsidRPr="00383155">
        <w:rPr>
          <w:b/>
          <w:sz w:val="28"/>
          <w:szCs w:val="28"/>
          <w:vertAlign w:val="superscript"/>
        </w:rPr>
        <w:t>3+</w:t>
      </w:r>
      <w:r w:rsidRPr="00383155">
        <w:rPr>
          <w:b/>
          <w:sz w:val="28"/>
          <w:szCs w:val="28"/>
        </w:rPr>
        <w:t xml:space="preserve"> phosphor:</w:t>
      </w:r>
    </w:p>
    <w:p w:rsidR="00814131" w:rsidRDefault="00814131" w:rsidP="00814131">
      <w:pPr>
        <w:spacing w:line="360" w:lineRule="auto"/>
        <w:jc w:val="both"/>
      </w:pPr>
      <w:r w:rsidRPr="00282EA5">
        <w:t xml:space="preserve"> This section describes the PL studies of ASL:Eu (0.5%) and  Tb concentration is varied from 0.1 to 2.5 mol %. Figure 1 shows the PL emission and excitation spectra of  the  ASL: Eu (0.5%) varying  Tb (0.1%,0.2 %, 0.3%, 0.4% , 0.5%,  0.7%, 1.0%, 1.5% , 2% and 2.5%)  concentration. It is found the excitation spectra spreads from 235 to 300 nm with peaking around 254, 268 and 278nm with relatively good intensity when compared to ASL:Tb,Eu  excitation spectra. The excitation spectra are recorded, while monitoring at 627nm. It is interesting to note that as Tb concentration increases in ASL:Eu, the Tb</w:t>
      </w:r>
      <w:r w:rsidRPr="00282EA5">
        <w:rPr>
          <w:vertAlign w:val="superscript"/>
        </w:rPr>
        <w:t>3+</w:t>
      </w:r>
      <w:r w:rsidRPr="00282EA5">
        <w:t xml:space="preserve"> excitation intensity decreases, when   the absorption band is considered and compared. The Tb excitation intensity decreases from 160 to 16 units as the Tb concentration increases to 0.1 -</w:t>
      </w:r>
      <w:r>
        <w:t xml:space="preserve"> </w:t>
      </w:r>
      <w:r w:rsidRPr="00282EA5">
        <w:t>2.5 mole percentage. Since the ASL:Eu varying Tb did not give any good intensity emission, only 278nm excitations are presented in this section</w:t>
      </w:r>
      <w:r w:rsidRPr="00746209">
        <w:t xml:space="preserve">. </w:t>
      </w:r>
    </w:p>
    <w:p w:rsidR="00814131" w:rsidRDefault="00814131" w:rsidP="00814131">
      <w:r>
        <w:object w:dxaOrig="5715" w:dyaOrig="5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85pt;height:347.5pt" o:ole="">
            <v:imagedata r:id="rId7" o:title=""/>
          </v:shape>
          <o:OLEObject Type="Embed" ProgID="Origin50.Graph" ShapeID="_x0000_i1025" DrawAspect="Content" ObjectID="_1507178334" r:id="rId8"/>
        </w:object>
      </w:r>
    </w:p>
    <w:p w:rsidR="00814131" w:rsidRDefault="00814131" w:rsidP="00814131">
      <w:pPr>
        <w:jc w:val="both"/>
      </w:pPr>
    </w:p>
    <w:p w:rsidR="00814131" w:rsidRPr="00FC7139" w:rsidRDefault="00814131" w:rsidP="00814131">
      <w:pPr>
        <w:spacing w:line="360" w:lineRule="auto"/>
        <w:jc w:val="both"/>
      </w:pPr>
      <w:r w:rsidRPr="00FC7139">
        <w:t xml:space="preserve">Fig.2 represents various PL emissions of </w:t>
      </w:r>
      <w:r>
        <w:t xml:space="preserve"> </w:t>
      </w:r>
      <w:r w:rsidRPr="00FC7139">
        <w:t>0.1 to 2.5 % Tb doped Al</w:t>
      </w:r>
      <w:r w:rsidRPr="00FC7139">
        <w:rPr>
          <w:vertAlign w:val="subscript"/>
        </w:rPr>
        <w:t>2</w:t>
      </w:r>
      <w:r w:rsidRPr="00FC7139">
        <w:t>Sr</w:t>
      </w:r>
      <w:r w:rsidRPr="00FC7139">
        <w:rPr>
          <w:vertAlign w:val="subscript"/>
        </w:rPr>
        <w:t>2</w:t>
      </w:r>
      <w:r w:rsidRPr="00FC7139">
        <w:t>La</w:t>
      </w:r>
      <w:r w:rsidRPr="00FC7139">
        <w:rPr>
          <w:vertAlign w:val="subscript"/>
        </w:rPr>
        <w:t>2</w:t>
      </w:r>
      <w:r w:rsidRPr="00FC7139">
        <w:t>O</w:t>
      </w:r>
      <w:r w:rsidRPr="00FC7139">
        <w:rPr>
          <w:vertAlign w:val="subscript"/>
        </w:rPr>
        <w:t>8</w:t>
      </w:r>
      <w:r w:rsidRPr="00FC7139">
        <w:t>: Eu excited with 278nm.</w:t>
      </w:r>
      <w:r>
        <w:t xml:space="preserve"> </w:t>
      </w:r>
      <w:r w:rsidRPr="00FC7139">
        <w:t xml:space="preserve"> Fig. 3 is the variation of Tb concentration in ASL:Eu and behaviour of subsequent PL emissions when excited with 278nm. Table.1 contains various emission peak intensities of Tb doped Al</w:t>
      </w:r>
      <w:r w:rsidRPr="00FC7139">
        <w:rPr>
          <w:vertAlign w:val="subscript"/>
        </w:rPr>
        <w:t>2</w:t>
      </w:r>
      <w:r w:rsidRPr="00FC7139">
        <w:t>Sr</w:t>
      </w:r>
      <w:r w:rsidRPr="00FC7139">
        <w:rPr>
          <w:vertAlign w:val="subscript"/>
        </w:rPr>
        <w:t>2</w:t>
      </w:r>
      <w:r w:rsidRPr="00FC7139">
        <w:t>La</w:t>
      </w:r>
      <w:r w:rsidRPr="00FC7139">
        <w:rPr>
          <w:vertAlign w:val="subscript"/>
        </w:rPr>
        <w:t>2</w:t>
      </w:r>
      <w:r w:rsidRPr="00FC7139">
        <w:t>O</w:t>
      </w:r>
      <w:r w:rsidRPr="00FC7139">
        <w:rPr>
          <w:vertAlign w:val="subscript"/>
        </w:rPr>
        <w:t>8</w:t>
      </w:r>
      <w:r w:rsidRPr="00FC7139">
        <w:t>: Eu under different excitations presented for better comparison and understanding</w:t>
      </w:r>
      <w:r>
        <w:t>.</w:t>
      </w:r>
    </w:p>
    <w:p w:rsidR="00814131" w:rsidRDefault="00814131" w:rsidP="00814131"/>
    <w:p w:rsidR="00814131" w:rsidRPr="001F0A5E" w:rsidRDefault="00814131" w:rsidP="00814131">
      <w:pPr>
        <w:spacing w:line="360" w:lineRule="auto"/>
        <w:ind w:firstLine="720"/>
        <w:jc w:val="both"/>
      </w:pPr>
      <w:r w:rsidRPr="001F0A5E">
        <w:t>Only Tb</w:t>
      </w:r>
      <w:r w:rsidRPr="001F0A5E">
        <w:rPr>
          <w:vertAlign w:val="superscript"/>
        </w:rPr>
        <w:t>3+</w:t>
      </w:r>
      <w:r w:rsidRPr="001F0A5E">
        <w:t xml:space="preserve"> → Eu</w:t>
      </w:r>
      <w:r w:rsidRPr="001F0A5E">
        <w:rPr>
          <w:vertAlign w:val="superscript"/>
        </w:rPr>
        <w:t>3+</w:t>
      </w:r>
      <w:r w:rsidRPr="001F0A5E">
        <w:t xml:space="preserve"> transfer can be observed for the Tb</w:t>
      </w:r>
      <w:r w:rsidRPr="001F0A5E">
        <w:rPr>
          <w:vertAlign w:val="superscript"/>
        </w:rPr>
        <w:t>3+</w:t>
      </w:r>
      <w:r w:rsidRPr="001F0A5E">
        <w:t>/Eu</w:t>
      </w:r>
      <w:r w:rsidRPr="001F0A5E">
        <w:rPr>
          <w:vertAlign w:val="superscript"/>
        </w:rPr>
        <w:t>3+</w:t>
      </w:r>
      <w:r w:rsidRPr="001F0A5E">
        <w:t xml:space="preserve"> pair, since the </w:t>
      </w:r>
      <w:r w:rsidRPr="001F0A5E">
        <w:rPr>
          <w:vertAlign w:val="superscript"/>
        </w:rPr>
        <w:t xml:space="preserve">5 </w:t>
      </w:r>
      <w:r w:rsidRPr="001F0A5E">
        <w:t>D</w:t>
      </w:r>
      <w:r w:rsidRPr="001F0A5E">
        <w:rPr>
          <w:vertAlign w:val="subscript"/>
        </w:rPr>
        <w:t>3,4</w:t>
      </w:r>
      <w:r w:rsidRPr="001F0A5E">
        <w:t xml:space="preserve">  excited states of Tb</w:t>
      </w:r>
      <w:r w:rsidRPr="001F0A5E">
        <w:rPr>
          <w:vertAlign w:val="superscript"/>
        </w:rPr>
        <w:t>3+</w:t>
      </w:r>
      <w:r w:rsidRPr="001F0A5E">
        <w:t xml:space="preserve"> lie higher than the </w:t>
      </w:r>
      <w:r w:rsidRPr="001F0A5E">
        <w:rPr>
          <w:vertAlign w:val="superscript"/>
        </w:rPr>
        <w:t xml:space="preserve">5 </w:t>
      </w:r>
      <w:r w:rsidRPr="001F0A5E">
        <w:t xml:space="preserve">D </w:t>
      </w:r>
      <w:r w:rsidRPr="001F0A5E">
        <w:rPr>
          <w:vertAlign w:val="subscript"/>
        </w:rPr>
        <w:t>0,1</w:t>
      </w:r>
      <w:r w:rsidRPr="001F0A5E">
        <w:t xml:space="preserve"> emission states of Eu</w:t>
      </w:r>
      <w:r w:rsidRPr="001F0A5E">
        <w:rPr>
          <w:vertAlign w:val="superscript"/>
        </w:rPr>
        <w:t>3+</w:t>
      </w:r>
      <w:r w:rsidRPr="001F0A5E">
        <w:t xml:space="preserve"> and both the ions have relatively fixed energy levels for the 4f electrons. The Tb</w:t>
      </w:r>
      <w:r w:rsidRPr="001F0A5E">
        <w:rPr>
          <w:vertAlign w:val="superscript"/>
        </w:rPr>
        <w:t>3+</w:t>
      </w:r>
      <w:r w:rsidRPr="001F0A5E">
        <w:t xml:space="preserve"> → Eu</w:t>
      </w:r>
      <w:r w:rsidRPr="001F0A5E">
        <w:rPr>
          <w:vertAlign w:val="superscript"/>
        </w:rPr>
        <w:t>3+</w:t>
      </w:r>
      <w:r w:rsidRPr="001F0A5E">
        <w:t xml:space="preserve"> energy transfer is of high efficiency ( can be </w:t>
      </w:r>
      <w:r w:rsidRPr="001F0A5E">
        <w:rPr>
          <w:rFonts w:ascii="Cambria Math" w:hAnsi="Cambria Math"/>
        </w:rPr>
        <w:t>∼</w:t>
      </w:r>
      <w:r w:rsidRPr="001F0A5E">
        <w:t>90%, for example), because of significant overlapping of the emission spectrum of Tb</w:t>
      </w:r>
      <w:r w:rsidRPr="001F0A5E">
        <w:rPr>
          <w:vertAlign w:val="superscript"/>
        </w:rPr>
        <w:t>3+</w:t>
      </w:r>
      <w:r w:rsidRPr="001F0A5E">
        <w:t xml:space="preserve"> with the excitation spectrum of Eu</w:t>
      </w:r>
      <w:r w:rsidRPr="001F0A5E">
        <w:rPr>
          <w:vertAlign w:val="superscript"/>
        </w:rPr>
        <w:t>3+</w:t>
      </w:r>
      <w:r w:rsidRPr="001F0A5E">
        <w:t>.  With such an energy transfer, occurring via electric multi pole interactions, the emission color of Tb</w:t>
      </w:r>
      <w:r w:rsidRPr="001F0A5E">
        <w:rPr>
          <w:vertAlign w:val="superscript"/>
        </w:rPr>
        <w:t>3+</w:t>
      </w:r>
      <w:r w:rsidRPr="001F0A5E">
        <w:t>/Eu</w:t>
      </w:r>
      <w:r w:rsidRPr="001F0A5E">
        <w:rPr>
          <w:vertAlign w:val="superscript"/>
        </w:rPr>
        <w:t>3+</w:t>
      </w:r>
      <w:r w:rsidRPr="001F0A5E">
        <w:t xml:space="preserve"> co-doped in ASL can be finely tuned between red and green by varying the atomic ratio of the two.</w:t>
      </w:r>
    </w:p>
    <w:p w:rsidR="00814131" w:rsidRDefault="00814131" w:rsidP="00814131"/>
    <w:p w:rsidR="00814131" w:rsidRDefault="00814131" w:rsidP="00814131">
      <w:pPr>
        <w:rPr>
          <w:b/>
        </w:rPr>
      </w:pPr>
      <w:r>
        <w:object w:dxaOrig="5429" w:dyaOrig="5084">
          <v:shape id="_x0000_i1026" type="#_x0000_t75" style="width:465.8pt;height:339.35pt" o:ole="">
            <v:imagedata r:id="rId9" o:title=""/>
          </v:shape>
          <o:OLEObject Type="Embed" ProgID="Origin50.Graph" ShapeID="_x0000_i1026" DrawAspect="Content" ObjectID="_1507178335" r:id="rId10"/>
        </w:object>
      </w:r>
      <w:r>
        <w:object w:dxaOrig="5604" w:dyaOrig="5105">
          <v:shape id="_x0000_i1027" type="#_x0000_t75" style="width:511.5pt;height:315.55pt" o:ole="">
            <v:imagedata r:id="rId11" o:title=""/>
          </v:shape>
          <o:OLEObject Type="Embed" ProgID="Origin50.Graph" ShapeID="_x0000_i1027" DrawAspect="Content" ObjectID="_1507178336" r:id="rId12"/>
        </w:object>
      </w:r>
      <w:r w:rsidRPr="00485013">
        <w:rPr>
          <w:b/>
        </w:rPr>
        <w:t xml:space="preserve"> </w:t>
      </w:r>
    </w:p>
    <w:p w:rsidR="00814131" w:rsidRDefault="00814131" w:rsidP="00814131">
      <w:pPr>
        <w:jc w:val="center"/>
        <w:rPr>
          <w:b/>
        </w:rPr>
      </w:pPr>
    </w:p>
    <w:p w:rsidR="00814131" w:rsidRPr="00746209" w:rsidRDefault="00814131" w:rsidP="00814131">
      <w:pPr>
        <w:jc w:val="center"/>
        <w:rPr>
          <w:b/>
        </w:rPr>
      </w:pPr>
      <w:r w:rsidRPr="00DE7376">
        <w:rPr>
          <w:b/>
        </w:rPr>
        <w:t xml:space="preserve">Table 1: Intensities of various emission peaks  of  Tb </w:t>
      </w:r>
      <w:r>
        <w:rPr>
          <w:b/>
        </w:rPr>
        <w:t>(</w:t>
      </w:r>
      <w:r w:rsidRPr="00DE7376">
        <w:rPr>
          <w:b/>
        </w:rPr>
        <w:t>0.1,</w:t>
      </w:r>
      <w:r>
        <w:rPr>
          <w:b/>
        </w:rPr>
        <w:t xml:space="preserve"> </w:t>
      </w:r>
      <w:r w:rsidRPr="00DE7376">
        <w:rPr>
          <w:b/>
        </w:rPr>
        <w:t>0.2,</w:t>
      </w:r>
      <w:r>
        <w:rPr>
          <w:b/>
        </w:rPr>
        <w:t xml:space="preserve"> </w:t>
      </w:r>
      <w:r w:rsidRPr="00DE7376">
        <w:rPr>
          <w:b/>
        </w:rPr>
        <w:t>0.3,</w:t>
      </w:r>
      <w:r>
        <w:rPr>
          <w:b/>
        </w:rPr>
        <w:t xml:space="preserve"> </w:t>
      </w:r>
      <w:r w:rsidRPr="00DE7376">
        <w:rPr>
          <w:b/>
        </w:rPr>
        <w:t>0.4,</w:t>
      </w:r>
      <w:r>
        <w:rPr>
          <w:b/>
        </w:rPr>
        <w:t xml:space="preserve"> </w:t>
      </w:r>
      <w:r w:rsidRPr="00DE7376">
        <w:rPr>
          <w:b/>
        </w:rPr>
        <w:t>0.5,</w:t>
      </w:r>
      <w:r>
        <w:rPr>
          <w:b/>
        </w:rPr>
        <w:t xml:space="preserve"> </w:t>
      </w:r>
      <w:r w:rsidRPr="00DE7376">
        <w:rPr>
          <w:b/>
        </w:rPr>
        <w:t>0.7,</w:t>
      </w:r>
      <w:r>
        <w:rPr>
          <w:b/>
        </w:rPr>
        <w:t xml:space="preserve"> </w:t>
      </w:r>
      <w:r w:rsidRPr="00DE7376">
        <w:rPr>
          <w:b/>
        </w:rPr>
        <w:t>1.0,</w:t>
      </w:r>
      <w:r>
        <w:rPr>
          <w:b/>
        </w:rPr>
        <w:t xml:space="preserve"> </w:t>
      </w:r>
      <w:r w:rsidRPr="00DE7376">
        <w:rPr>
          <w:b/>
        </w:rPr>
        <w:t>1.5,</w:t>
      </w:r>
      <w:r>
        <w:rPr>
          <w:b/>
        </w:rPr>
        <w:t xml:space="preserve"> </w:t>
      </w:r>
      <w:r w:rsidRPr="00DE7376">
        <w:rPr>
          <w:b/>
        </w:rPr>
        <w:t>2.0,</w:t>
      </w:r>
      <w:r>
        <w:rPr>
          <w:b/>
        </w:rPr>
        <w:t xml:space="preserve"> </w:t>
      </w:r>
      <w:r w:rsidRPr="00DE7376">
        <w:rPr>
          <w:b/>
        </w:rPr>
        <w:t>2.5 mol%)  of ASL: Eu(0.5%) phosphor  under 278 nm excitation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tblPr>
      <w:tblGrid>
        <w:gridCol w:w="777"/>
        <w:gridCol w:w="1768"/>
        <w:gridCol w:w="590"/>
        <w:gridCol w:w="704"/>
        <w:gridCol w:w="704"/>
        <w:gridCol w:w="704"/>
        <w:gridCol w:w="704"/>
        <w:gridCol w:w="704"/>
        <w:gridCol w:w="704"/>
        <w:gridCol w:w="704"/>
        <w:gridCol w:w="704"/>
      </w:tblGrid>
      <w:tr w:rsidR="00814131" w:rsidRPr="00DE7376" w:rsidTr="009B134A">
        <w:tc>
          <w:tcPr>
            <w:tcW w:w="777" w:type="dxa"/>
            <w:vMerge w:val="restart"/>
            <w:vAlign w:val="center"/>
          </w:tcPr>
          <w:p w:rsidR="00814131" w:rsidRPr="00DE7376" w:rsidRDefault="00814131" w:rsidP="009B134A">
            <w:pPr>
              <w:jc w:val="center"/>
              <w:rPr>
                <w:b/>
              </w:rPr>
            </w:pPr>
            <w:r w:rsidRPr="00DE7376">
              <w:rPr>
                <w:b/>
              </w:rPr>
              <w:t>S.No.</w:t>
            </w:r>
          </w:p>
        </w:tc>
        <w:tc>
          <w:tcPr>
            <w:tcW w:w="1768" w:type="dxa"/>
            <w:vMerge w:val="restart"/>
            <w:vAlign w:val="center"/>
          </w:tcPr>
          <w:p w:rsidR="00814131" w:rsidRPr="00DE7376" w:rsidRDefault="00814131" w:rsidP="009B134A">
            <w:pPr>
              <w:rPr>
                <w:b/>
              </w:rPr>
            </w:pPr>
            <w:r w:rsidRPr="00DE7376">
              <w:rPr>
                <w:b/>
              </w:rPr>
              <w:t>Sample</w:t>
            </w:r>
          </w:p>
        </w:tc>
        <w:tc>
          <w:tcPr>
            <w:tcW w:w="6222" w:type="dxa"/>
            <w:gridSpan w:val="9"/>
          </w:tcPr>
          <w:p w:rsidR="00814131" w:rsidRPr="00DE7376" w:rsidRDefault="00814131" w:rsidP="009B134A">
            <w:pPr>
              <w:jc w:val="center"/>
              <w:rPr>
                <w:b/>
              </w:rPr>
            </w:pPr>
            <w:r w:rsidRPr="00DE7376">
              <w:rPr>
                <w:b/>
              </w:rPr>
              <w:t>Emission Intensities under 278nm</w:t>
            </w:r>
          </w:p>
        </w:tc>
      </w:tr>
      <w:tr w:rsidR="00814131" w:rsidRPr="00DE7376" w:rsidTr="009B134A">
        <w:tc>
          <w:tcPr>
            <w:tcW w:w="777" w:type="dxa"/>
            <w:vMerge/>
            <w:vAlign w:val="center"/>
          </w:tcPr>
          <w:p w:rsidR="00814131" w:rsidRPr="00DE7376" w:rsidRDefault="00814131" w:rsidP="009B134A">
            <w:pPr>
              <w:jc w:val="center"/>
              <w:rPr>
                <w:b/>
              </w:rPr>
            </w:pPr>
          </w:p>
        </w:tc>
        <w:tc>
          <w:tcPr>
            <w:tcW w:w="1768" w:type="dxa"/>
            <w:vMerge/>
            <w:vAlign w:val="center"/>
          </w:tcPr>
          <w:p w:rsidR="00814131" w:rsidRPr="00DE7376" w:rsidRDefault="00814131" w:rsidP="009B134A">
            <w:pPr>
              <w:rPr>
                <w:b/>
              </w:rPr>
            </w:pPr>
          </w:p>
        </w:tc>
        <w:tc>
          <w:tcPr>
            <w:tcW w:w="590" w:type="dxa"/>
            <w:vAlign w:val="center"/>
          </w:tcPr>
          <w:p w:rsidR="00814131" w:rsidRPr="00DE7376" w:rsidRDefault="00814131" w:rsidP="009B134A">
            <w:pPr>
              <w:jc w:val="right"/>
              <w:rPr>
                <w:b/>
              </w:rPr>
            </w:pPr>
            <w:r w:rsidRPr="00DE7376">
              <w:rPr>
                <w:b/>
              </w:rPr>
              <w:t>468</w:t>
            </w:r>
          </w:p>
        </w:tc>
        <w:tc>
          <w:tcPr>
            <w:tcW w:w="704" w:type="dxa"/>
            <w:vAlign w:val="center"/>
          </w:tcPr>
          <w:p w:rsidR="00814131" w:rsidRPr="00DE7376" w:rsidRDefault="00814131" w:rsidP="009B134A">
            <w:pPr>
              <w:jc w:val="right"/>
              <w:rPr>
                <w:b/>
              </w:rPr>
            </w:pPr>
            <w:r w:rsidRPr="00DE7376">
              <w:rPr>
                <w:b/>
              </w:rPr>
              <w:t>514</w:t>
            </w:r>
          </w:p>
        </w:tc>
        <w:tc>
          <w:tcPr>
            <w:tcW w:w="704" w:type="dxa"/>
            <w:vAlign w:val="center"/>
          </w:tcPr>
          <w:p w:rsidR="00814131" w:rsidRPr="00DE7376" w:rsidRDefault="00814131" w:rsidP="009B134A">
            <w:pPr>
              <w:jc w:val="right"/>
              <w:rPr>
                <w:b/>
              </w:rPr>
            </w:pPr>
            <w:r w:rsidRPr="00DE7376">
              <w:rPr>
                <w:b/>
              </w:rPr>
              <w:t>541</w:t>
            </w:r>
          </w:p>
        </w:tc>
        <w:tc>
          <w:tcPr>
            <w:tcW w:w="704" w:type="dxa"/>
            <w:vAlign w:val="center"/>
          </w:tcPr>
          <w:p w:rsidR="00814131" w:rsidRPr="00DE7376" w:rsidRDefault="00814131" w:rsidP="009B134A">
            <w:pPr>
              <w:jc w:val="right"/>
              <w:rPr>
                <w:b/>
              </w:rPr>
            </w:pPr>
            <w:r w:rsidRPr="00DE7376">
              <w:rPr>
                <w:b/>
              </w:rPr>
              <w:t>556</w:t>
            </w:r>
          </w:p>
        </w:tc>
        <w:tc>
          <w:tcPr>
            <w:tcW w:w="704" w:type="dxa"/>
            <w:vAlign w:val="center"/>
          </w:tcPr>
          <w:p w:rsidR="00814131" w:rsidRPr="00DE7376" w:rsidRDefault="00814131" w:rsidP="009B134A">
            <w:pPr>
              <w:jc w:val="right"/>
              <w:rPr>
                <w:b/>
              </w:rPr>
            </w:pPr>
            <w:r w:rsidRPr="00DE7376">
              <w:rPr>
                <w:b/>
              </w:rPr>
              <w:t>582</w:t>
            </w:r>
          </w:p>
        </w:tc>
        <w:tc>
          <w:tcPr>
            <w:tcW w:w="704" w:type="dxa"/>
            <w:vAlign w:val="center"/>
          </w:tcPr>
          <w:p w:rsidR="00814131" w:rsidRPr="00DE7376" w:rsidRDefault="00814131" w:rsidP="009B134A">
            <w:pPr>
              <w:jc w:val="right"/>
              <w:rPr>
                <w:b/>
              </w:rPr>
            </w:pPr>
            <w:r w:rsidRPr="00DE7376">
              <w:rPr>
                <w:b/>
              </w:rPr>
              <w:t>588</w:t>
            </w:r>
          </w:p>
        </w:tc>
        <w:tc>
          <w:tcPr>
            <w:tcW w:w="704" w:type="dxa"/>
            <w:vAlign w:val="center"/>
          </w:tcPr>
          <w:p w:rsidR="00814131" w:rsidRPr="00DE7376" w:rsidRDefault="00814131" w:rsidP="009B134A">
            <w:pPr>
              <w:jc w:val="right"/>
              <w:rPr>
                <w:b/>
              </w:rPr>
            </w:pPr>
            <w:r w:rsidRPr="00DE7376">
              <w:rPr>
                <w:b/>
              </w:rPr>
              <w:t>597</w:t>
            </w:r>
          </w:p>
        </w:tc>
        <w:tc>
          <w:tcPr>
            <w:tcW w:w="704" w:type="dxa"/>
            <w:vAlign w:val="center"/>
          </w:tcPr>
          <w:p w:rsidR="00814131" w:rsidRPr="00DE7376" w:rsidRDefault="00814131" w:rsidP="009B134A">
            <w:pPr>
              <w:jc w:val="right"/>
              <w:rPr>
                <w:b/>
              </w:rPr>
            </w:pPr>
            <w:r w:rsidRPr="00DE7376">
              <w:rPr>
                <w:b/>
              </w:rPr>
              <w:t>615</w:t>
            </w:r>
          </w:p>
        </w:tc>
        <w:tc>
          <w:tcPr>
            <w:tcW w:w="704" w:type="dxa"/>
            <w:vAlign w:val="center"/>
          </w:tcPr>
          <w:p w:rsidR="00814131" w:rsidRPr="00DE7376" w:rsidRDefault="00814131" w:rsidP="009B134A">
            <w:pPr>
              <w:jc w:val="right"/>
              <w:rPr>
                <w:b/>
              </w:rPr>
            </w:pPr>
            <w:r w:rsidRPr="00DE7376">
              <w:rPr>
                <w:b/>
              </w:rPr>
              <w:t>627</w:t>
            </w:r>
          </w:p>
        </w:tc>
      </w:tr>
      <w:tr w:rsidR="00814131" w:rsidRPr="00DE7376" w:rsidTr="009B134A">
        <w:tc>
          <w:tcPr>
            <w:tcW w:w="777" w:type="dxa"/>
            <w:vAlign w:val="center"/>
          </w:tcPr>
          <w:p w:rsidR="00814131" w:rsidRPr="00DE7376" w:rsidRDefault="00814131" w:rsidP="009B134A">
            <w:pPr>
              <w:jc w:val="center"/>
              <w:rPr>
                <w:b/>
              </w:rPr>
            </w:pPr>
            <w:r w:rsidRPr="00DE7376">
              <w:rPr>
                <w:b/>
              </w:rPr>
              <w:t>1</w:t>
            </w:r>
          </w:p>
        </w:tc>
        <w:tc>
          <w:tcPr>
            <w:tcW w:w="1768" w:type="dxa"/>
            <w:vAlign w:val="center"/>
          </w:tcPr>
          <w:p w:rsidR="00814131" w:rsidRPr="00DE7376" w:rsidRDefault="00814131" w:rsidP="009B134A">
            <w:pPr>
              <w:rPr>
                <w:b/>
              </w:rPr>
            </w:pPr>
            <w:r w:rsidRPr="00DE7376">
              <w:rPr>
                <w:b/>
              </w:rPr>
              <w:t>Al</w:t>
            </w:r>
            <w:r w:rsidRPr="00DE7376">
              <w:rPr>
                <w:b/>
                <w:vertAlign w:val="subscript"/>
              </w:rPr>
              <w:t>2</w:t>
            </w:r>
            <w:r w:rsidRPr="00DE7376">
              <w:rPr>
                <w:b/>
              </w:rPr>
              <w:t>Sr</w:t>
            </w:r>
            <w:r w:rsidRPr="00DE7376">
              <w:rPr>
                <w:b/>
                <w:vertAlign w:val="subscript"/>
              </w:rPr>
              <w:t>2</w:t>
            </w:r>
            <w:r w:rsidRPr="00DE7376">
              <w:rPr>
                <w:b/>
              </w:rPr>
              <w:t>La</w:t>
            </w:r>
            <w:r w:rsidRPr="00DE7376">
              <w:rPr>
                <w:b/>
                <w:vertAlign w:val="subscript"/>
              </w:rPr>
              <w:t>2</w:t>
            </w:r>
            <w:r w:rsidRPr="00DE7376">
              <w:rPr>
                <w:b/>
              </w:rPr>
              <w:t>O</w:t>
            </w:r>
            <w:r w:rsidRPr="00DE7376">
              <w:rPr>
                <w:b/>
                <w:vertAlign w:val="subscript"/>
              </w:rPr>
              <w:t>8</w:t>
            </w:r>
            <w:r w:rsidRPr="00DE7376">
              <w:rPr>
                <w:b/>
              </w:rPr>
              <w:t>: Eu(0.5%), Tb(0.1%)</w:t>
            </w:r>
          </w:p>
        </w:tc>
        <w:tc>
          <w:tcPr>
            <w:tcW w:w="590" w:type="dxa"/>
            <w:vAlign w:val="center"/>
          </w:tcPr>
          <w:p w:rsidR="00814131" w:rsidRPr="00DE7376" w:rsidRDefault="00814131" w:rsidP="009B134A">
            <w:pPr>
              <w:jc w:val="right"/>
            </w:pPr>
            <w:r w:rsidRPr="00DE7376">
              <w:t>41</w:t>
            </w:r>
          </w:p>
        </w:tc>
        <w:tc>
          <w:tcPr>
            <w:tcW w:w="704" w:type="dxa"/>
            <w:vAlign w:val="center"/>
          </w:tcPr>
          <w:p w:rsidR="00814131" w:rsidRPr="00DE7376" w:rsidRDefault="00814131" w:rsidP="009B134A">
            <w:pPr>
              <w:jc w:val="right"/>
            </w:pPr>
            <w:r w:rsidRPr="00DE7376">
              <w:t>30</w:t>
            </w:r>
          </w:p>
        </w:tc>
        <w:tc>
          <w:tcPr>
            <w:tcW w:w="704" w:type="dxa"/>
            <w:vAlign w:val="center"/>
          </w:tcPr>
          <w:p w:rsidR="00814131" w:rsidRPr="00DE7376" w:rsidRDefault="00814131" w:rsidP="009B134A">
            <w:pPr>
              <w:jc w:val="right"/>
            </w:pPr>
            <w:r w:rsidRPr="00DE7376">
              <w:t>107</w:t>
            </w:r>
          </w:p>
        </w:tc>
        <w:tc>
          <w:tcPr>
            <w:tcW w:w="704" w:type="dxa"/>
            <w:vAlign w:val="center"/>
          </w:tcPr>
          <w:p w:rsidR="00814131" w:rsidRPr="00DE7376" w:rsidRDefault="00814131" w:rsidP="009B134A">
            <w:pPr>
              <w:jc w:val="right"/>
            </w:pPr>
            <w:r w:rsidRPr="00DE7376">
              <w:t>45</w:t>
            </w:r>
          </w:p>
        </w:tc>
        <w:tc>
          <w:tcPr>
            <w:tcW w:w="704" w:type="dxa"/>
            <w:vAlign w:val="center"/>
          </w:tcPr>
          <w:p w:rsidR="00814131" w:rsidRPr="00DE7376" w:rsidRDefault="00814131" w:rsidP="009B134A">
            <w:pPr>
              <w:jc w:val="right"/>
            </w:pPr>
            <w:r w:rsidRPr="00DE7376">
              <w:t>36</w:t>
            </w:r>
          </w:p>
        </w:tc>
        <w:tc>
          <w:tcPr>
            <w:tcW w:w="704" w:type="dxa"/>
            <w:vAlign w:val="center"/>
          </w:tcPr>
          <w:p w:rsidR="00814131" w:rsidRPr="00DE7376" w:rsidRDefault="00814131" w:rsidP="009B134A">
            <w:pPr>
              <w:jc w:val="right"/>
            </w:pPr>
            <w:r w:rsidRPr="00DE7376">
              <w:t>113</w:t>
            </w:r>
          </w:p>
        </w:tc>
        <w:tc>
          <w:tcPr>
            <w:tcW w:w="704" w:type="dxa"/>
            <w:vAlign w:val="center"/>
          </w:tcPr>
          <w:p w:rsidR="00814131" w:rsidRPr="00DE7376" w:rsidRDefault="00814131" w:rsidP="009B134A">
            <w:pPr>
              <w:jc w:val="right"/>
            </w:pPr>
            <w:r w:rsidRPr="00DE7376">
              <w:t>49</w:t>
            </w:r>
          </w:p>
        </w:tc>
        <w:tc>
          <w:tcPr>
            <w:tcW w:w="704" w:type="dxa"/>
            <w:vAlign w:val="center"/>
          </w:tcPr>
          <w:p w:rsidR="00814131" w:rsidRPr="00DE7376" w:rsidRDefault="00814131" w:rsidP="009B134A">
            <w:pPr>
              <w:jc w:val="right"/>
            </w:pPr>
            <w:r w:rsidRPr="00DE7376">
              <w:t>62</w:t>
            </w:r>
          </w:p>
        </w:tc>
        <w:tc>
          <w:tcPr>
            <w:tcW w:w="704" w:type="dxa"/>
            <w:vAlign w:val="center"/>
          </w:tcPr>
          <w:p w:rsidR="00814131" w:rsidRPr="00DE7376" w:rsidRDefault="00814131" w:rsidP="009B134A">
            <w:pPr>
              <w:jc w:val="right"/>
            </w:pPr>
            <w:r w:rsidRPr="00DE7376">
              <w:t>147</w:t>
            </w:r>
          </w:p>
        </w:tc>
      </w:tr>
      <w:tr w:rsidR="00814131" w:rsidRPr="00DE7376" w:rsidTr="009B134A">
        <w:tc>
          <w:tcPr>
            <w:tcW w:w="777" w:type="dxa"/>
            <w:vAlign w:val="center"/>
          </w:tcPr>
          <w:p w:rsidR="00814131" w:rsidRPr="00DE7376" w:rsidRDefault="00814131" w:rsidP="009B134A">
            <w:pPr>
              <w:jc w:val="center"/>
              <w:rPr>
                <w:b/>
              </w:rPr>
            </w:pPr>
            <w:r w:rsidRPr="00DE7376">
              <w:rPr>
                <w:b/>
              </w:rPr>
              <w:t>2</w:t>
            </w:r>
          </w:p>
        </w:tc>
        <w:tc>
          <w:tcPr>
            <w:tcW w:w="1768" w:type="dxa"/>
            <w:vAlign w:val="center"/>
          </w:tcPr>
          <w:p w:rsidR="00814131" w:rsidRPr="00DE7376" w:rsidRDefault="00814131" w:rsidP="009B134A">
            <w:pPr>
              <w:rPr>
                <w:b/>
              </w:rPr>
            </w:pPr>
            <w:r w:rsidRPr="00DE7376">
              <w:rPr>
                <w:b/>
              </w:rPr>
              <w:t>Al</w:t>
            </w:r>
            <w:r w:rsidRPr="00DE7376">
              <w:rPr>
                <w:b/>
                <w:vertAlign w:val="subscript"/>
              </w:rPr>
              <w:t>2</w:t>
            </w:r>
            <w:r w:rsidRPr="00DE7376">
              <w:rPr>
                <w:b/>
              </w:rPr>
              <w:t>Sr</w:t>
            </w:r>
            <w:r w:rsidRPr="00DE7376">
              <w:rPr>
                <w:b/>
                <w:vertAlign w:val="subscript"/>
              </w:rPr>
              <w:t>2</w:t>
            </w:r>
            <w:r w:rsidRPr="00DE7376">
              <w:rPr>
                <w:b/>
              </w:rPr>
              <w:t>La</w:t>
            </w:r>
            <w:r w:rsidRPr="00DE7376">
              <w:rPr>
                <w:b/>
                <w:vertAlign w:val="subscript"/>
              </w:rPr>
              <w:t>2</w:t>
            </w:r>
            <w:r w:rsidRPr="00DE7376">
              <w:rPr>
                <w:b/>
              </w:rPr>
              <w:t>O</w:t>
            </w:r>
            <w:r w:rsidRPr="00DE7376">
              <w:rPr>
                <w:b/>
                <w:vertAlign w:val="subscript"/>
              </w:rPr>
              <w:t>8</w:t>
            </w:r>
            <w:r w:rsidRPr="00DE7376">
              <w:rPr>
                <w:b/>
              </w:rPr>
              <w:t>: Eu(0.5%), Tb(0.2%)</w:t>
            </w:r>
          </w:p>
        </w:tc>
        <w:tc>
          <w:tcPr>
            <w:tcW w:w="590" w:type="dxa"/>
            <w:vAlign w:val="center"/>
          </w:tcPr>
          <w:p w:rsidR="00814131" w:rsidRPr="00DE7376" w:rsidRDefault="00814131" w:rsidP="009B134A">
            <w:pPr>
              <w:jc w:val="right"/>
            </w:pPr>
            <w:r w:rsidRPr="00DE7376">
              <w:t>27</w:t>
            </w:r>
          </w:p>
        </w:tc>
        <w:tc>
          <w:tcPr>
            <w:tcW w:w="704" w:type="dxa"/>
            <w:vAlign w:val="center"/>
          </w:tcPr>
          <w:p w:rsidR="00814131" w:rsidRPr="00DE7376" w:rsidRDefault="00814131" w:rsidP="009B134A">
            <w:pPr>
              <w:jc w:val="right"/>
            </w:pPr>
            <w:r w:rsidRPr="00DE7376">
              <w:t>18</w:t>
            </w:r>
          </w:p>
        </w:tc>
        <w:tc>
          <w:tcPr>
            <w:tcW w:w="704" w:type="dxa"/>
            <w:vAlign w:val="center"/>
          </w:tcPr>
          <w:p w:rsidR="00814131" w:rsidRPr="00DE7376" w:rsidRDefault="00814131" w:rsidP="009B134A">
            <w:pPr>
              <w:jc w:val="right"/>
            </w:pPr>
            <w:r w:rsidRPr="00DE7376">
              <w:t>62</w:t>
            </w:r>
          </w:p>
        </w:tc>
        <w:tc>
          <w:tcPr>
            <w:tcW w:w="704" w:type="dxa"/>
            <w:vAlign w:val="center"/>
          </w:tcPr>
          <w:p w:rsidR="00814131" w:rsidRPr="00DE7376" w:rsidRDefault="00814131" w:rsidP="009B134A">
            <w:pPr>
              <w:jc w:val="right"/>
            </w:pPr>
            <w:r w:rsidRPr="00DE7376">
              <w:t>27</w:t>
            </w:r>
          </w:p>
        </w:tc>
        <w:tc>
          <w:tcPr>
            <w:tcW w:w="704" w:type="dxa"/>
            <w:vAlign w:val="center"/>
          </w:tcPr>
          <w:p w:rsidR="00814131" w:rsidRPr="00DE7376" w:rsidRDefault="00814131" w:rsidP="009B134A">
            <w:pPr>
              <w:jc w:val="right"/>
            </w:pPr>
            <w:r w:rsidRPr="00DE7376">
              <w:t>22</w:t>
            </w:r>
          </w:p>
        </w:tc>
        <w:tc>
          <w:tcPr>
            <w:tcW w:w="704" w:type="dxa"/>
            <w:vAlign w:val="center"/>
          </w:tcPr>
          <w:p w:rsidR="00814131" w:rsidRPr="00DE7376" w:rsidRDefault="00814131" w:rsidP="009B134A">
            <w:pPr>
              <w:jc w:val="right"/>
            </w:pPr>
            <w:r w:rsidRPr="00DE7376">
              <w:t>73</w:t>
            </w:r>
          </w:p>
        </w:tc>
        <w:tc>
          <w:tcPr>
            <w:tcW w:w="704" w:type="dxa"/>
            <w:vAlign w:val="center"/>
          </w:tcPr>
          <w:p w:rsidR="00814131" w:rsidRPr="00DE7376" w:rsidRDefault="00814131" w:rsidP="009B134A">
            <w:pPr>
              <w:jc w:val="right"/>
            </w:pPr>
            <w:r w:rsidRPr="00DE7376">
              <w:t>29</w:t>
            </w:r>
          </w:p>
        </w:tc>
        <w:tc>
          <w:tcPr>
            <w:tcW w:w="704" w:type="dxa"/>
            <w:vAlign w:val="center"/>
          </w:tcPr>
          <w:p w:rsidR="00814131" w:rsidRPr="00DE7376" w:rsidRDefault="00814131" w:rsidP="009B134A">
            <w:pPr>
              <w:jc w:val="right"/>
            </w:pPr>
            <w:r w:rsidRPr="00DE7376">
              <w:t>35</w:t>
            </w:r>
          </w:p>
        </w:tc>
        <w:tc>
          <w:tcPr>
            <w:tcW w:w="704" w:type="dxa"/>
            <w:vAlign w:val="center"/>
          </w:tcPr>
          <w:p w:rsidR="00814131" w:rsidRPr="00DE7376" w:rsidRDefault="00814131" w:rsidP="009B134A">
            <w:pPr>
              <w:jc w:val="right"/>
            </w:pPr>
            <w:r w:rsidRPr="00DE7376">
              <w:t>88</w:t>
            </w:r>
          </w:p>
        </w:tc>
      </w:tr>
      <w:tr w:rsidR="00814131" w:rsidRPr="00DE7376" w:rsidTr="009B134A">
        <w:tc>
          <w:tcPr>
            <w:tcW w:w="777" w:type="dxa"/>
            <w:vAlign w:val="center"/>
          </w:tcPr>
          <w:p w:rsidR="00814131" w:rsidRPr="00DE7376" w:rsidRDefault="00814131" w:rsidP="009B134A">
            <w:pPr>
              <w:jc w:val="center"/>
              <w:rPr>
                <w:b/>
              </w:rPr>
            </w:pPr>
            <w:r w:rsidRPr="00DE7376">
              <w:rPr>
                <w:b/>
              </w:rPr>
              <w:t>3</w:t>
            </w:r>
          </w:p>
        </w:tc>
        <w:tc>
          <w:tcPr>
            <w:tcW w:w="1768" w:type="dxa"/>
            <w:vAlign w:val="center"/>
          </w:tcPr>
          <w:p w:rsidR="00814131" w:rsidRPr="00DE7376" w:rsidRDefault="00814131" w:rsidP="009B134A">
            <w:pPr>
              <w:rPr>
                <w:b/>
              </w:rPr>
            </w:pPr>
            <w:r w:rsidRPr="00DE7376">
              <w:rPr>
                <w:b/>
              </w:rPr>
              <w:t>Al</w:t>
            </w:r>
            <w:r w:rsidRPr="00DE7376">
              <w:rPr>
                <w:b/>
                <w:vertAlign w:val="subscript"/>
              </w:rPr>
              <w:t>2</w:t>
            </w:r>
            <w:r w:rsidRPr="00DE7376">
              <w:rPr>
                <w:b/>
              </w:rPr>
              <w:t>Sr</w:t>
            </w:r>
            <w:r w:rsidRPr="00DE7376">
              <w:rPr>
                <w:b/>
                <w:vertAlign w:val="subscript"/>
              </w:rPr>
              <w:t>2</w:t>
            </w:r>
            <w:r w:rsidRPr="00DE7376">
              <w:rPr>
                <w:b/>
              </w:rPr>
              <w:t>La</w:t>
            </w:r>
            <w:r w:rsidRPr="00DE7376">
              <w:rPr>
                <w:b/>
                <w:vertAlign w:val="subscript"/>
              </w:rPr>
              <w:t>2</w:t>
            </w:r>
            <w:r w:rsidRPr="00DE7376">
              <w:rPr>
                <w:b/>
              </w:rPr>
              <w:t>O</w:t>
            </w:r>
            <w:r w:rsidRPr="00DE7376">
              <w:rPr>
                <w:b/>
                <w:vertAlign w:val="subscript"/>
              </w:rPr>
              <w:t>8</w:t>
            </w:r>
            <w:r w:rsidRPr="00DE7376">
              <w:rPr>
                <w:b/>
              </w:rPr>
              <w:t>: Eu(0.5%), Tb(0.3%)</w:t>
            </w:r>
          </w:p>
        </w:tc>
        <w:tc>
          <w:tcPr>
            <w:tcW w:w="590" w:type="dxa"/>
            <w:vAlign w:val="center"/>
          </w:tcPr>
          <w:p w:rsidR="00814131" w:rsidRPr="00DE7376" w:rsidRDefault="00814131" w:rsidP="009B134A">
            <w:pPr>
              <w:jc w:val="right"/>
            </w:pPr>
            <w:r w:rsidRPr="00DE7376">
              <w:t>19</w:t>
            </w:r>
          </w:p>
        </w:tc>
        <w:tc>
          <w:tcPr>
            <w:tcW w:w="704" w:type="dxa"/>
            <w:vAlign w:val="center"/>
          </w:tcPr>
          <w:p w:rsidR="00814131" w:rsidRPr="00DE7376" w:rsidRDefault="00814131" w:rsidP="009B134A">
            <w:pPr>
              <w:jc w:val="right"/>
            </w:pPr>
            <w:r w:rsidRPr="00DE7376">
              <w:t>11</w:t>
            </w:r>
          </w:p>
        </w:tc>
        <w:tc>
          <w:tcPr>
            <w:tcW w:w="704" w:type="dxa"/>
            <w:vAlign w:val="center"/>
          </w:tcPr>
          <w:p w:rsidR="00814131" w:rsidRPr="00DE7376" w:rsidRDefault="00814131" w:rsidP="009B134A">
            <w:pPr>
              <w:jc w:val="right"/>
            </w:pPr>
            <w:r w:rsidRPr="00DE7376">
              <w:t>30</w:t>
            </w:r>
          </w:p>
        </w:tc>
        <w:tc>
          <w:tcPr>
            <w:tcW w:w="704" w:type="dxa"/>
            <w:vAlign w:val="center"/>
          </w:tcPr>
          <w:p w:rsidR="00814131" w:rsidRPr="00DE7376" w:rsidRDefault="00814131" w:rsidP="009B134A">
            <w:pPr>
              <w:jc w:val="right"/>
            </w:pPr>
            <w:r w:rsidRPr="00DE7376">
              <w:t>14</w:t>
            </w:r>
          </w:p>
        </w:tc>
        <w:tc>
          <w:tcPr>
            <w:tcW w:w="704" w:type="dxa"/>
            <w:vAlign w:val="center"/>
          </w:tcPr>
          <w:p w:rsidR="00814131" w:rsidRPr="00DE7376" w:rsidRDefault="00814131" w:rsidP="009B134A">
            <w:pPr>
              <w:jc w:val="right"/>
            </w:pPr>
            <w:r w:rsidRPr="00DE7376">
              <w:t>10</w:t>
            </w:r>
          </w:p>
        </w:tc>
        <w:tc>
          <w:tcPr>
            <w:tcW w:w="704" w:type="dxa"/>
            <w:vAlign w:val="center"/>
          </w:tcPr>
          <w:p w:rsidR="00814131" w:rsidRPr="00DE7376" w:rsidRDefault="00814131" w:rsidP="009B134A">
            <w:pPr>
              <w:jc w:val="right"/>
            </w:pPr>
            <w:r w:rsidRPr="00DE7376">
              <w:t>34</w:t>
            </w:r>
          </w:p>
        </w:tc>
        <w:tc>
          <w:tcPr>
            <w:tcW w:w="704" w:type="dxa"/>
            <w:vAlign w:val="center"/>
          </w:tcPr>
          <w:p w:rsidR="00814131" w:rsidRPr="00DE7376" w:rsidRDefault="00814131" w:rsidP="009B134A">
            <w:pPr>
              <w:jc w:val="right"/>
            </w:pPr>
            <w:r w:rsidRPr="00DE7376">
              <w:t>14</w:t>
            </w:r>
          </w:p>
        </w:tc>
        <w:tc>
          <w:tcPr>
            <w:tcW w:w="704" w:type="dxa"/>
            <w:vAlign w:val="center"/>
          </w:tcPr>
          <w:p w:rsidR="00814131" w:rsidRPr="00DE7376" w:rsidRDefault="00814131" w:rsidP="009B134A">
            <w:pPr>
              <w:jc w:val="right"/>
            </w:pPr>
            <w:r w:rsidRPr="00DE7376">
              <w:t>17</w:t>
            </w:r>
          </w:p>
        </w:tc>
        <w:tc>
          <w:tcPr>
            <w:tcW w:w="704" w:type="dxa"/>
            <w:vAlign w:val="center"/>
          </w:tcPr>
          <w:p w:rsidR="00814131" w:rsidRPr="00DE7376" w:rsidRDefault="00814131" w:rsidP="009B134A">
            <w:pPr>
              <w:jc w:val="right"/>
            </w:pPr>
            <w:r w:rsidRPr="00DE7376">
              <w:t>37</w:t>
            </w:r>
          </w:p>
        </w:tc>
      </w:tr>
      <w:tr w:rsidR="00814131" w:rsidRPr="00DE7376" w:rsidTr="009B134A">
        <w:tc>
          <w:tcPr>
            <w:tcW w:w="777" w:type="dxa"/>
            <w:vAlign w:val="center"/>
          </w:tcPr>
          <w:p w:rsidR="00814131" w:rsidRPr="00DE7376" w:rsidRDefault="00814131" w:rsidP="009B134A">
            <w:pPr>
              <w:jc w:val="center"/>
              <w:rPr>
                <w:b/>
              </w:rPr>
            </w:pPr>
            <w:r w:rsidRPr="00DE7376">
              <w:rPr>
                <w:b/>
              </w:rPr>
              <w:t>4</w:t>
            </w:r>
          </w:p>
        </w:tc>
        <w:tc>
          <w:tcPr>
            <w:tcW w:w="1768" w:type="dxa"/>
            <w:vAlign w:val="center"/>
          </w:tcPr>
          <w:p w:rsidR="00814131" w:rsidRPr="00DE7376" w:rsidRDefault="00814131" w:rsidP="009B134A">
            <w:pPr>
              <w:rPr>
                <w:b/>
              </w:rPr>
            </w:pPr>
            <w:r w:rsidRPr="00DE7376">
              <w:rPr>
                <w:b/>
              </w:rPr>
              <w:t>Al</w:t>
            </w:r>
            <w:r w:rsidRPr="00DE7376">
              <w:rPr>
                <w:b/>
                <w:vertAlign w:val="subscript"/>
              </w:rPr>
              <w:t>2</w:t>
            </w:r>
            <w:r w:rsidRPr="00DE7376">
              <w:rPr>
                <w:b/>
              </w:rPr>
              <w:t>Sr</w:t>
            </w:r>
            <w:r w:rsidRPr="00DE7376">
              <w:rPr>
                <w:b/>
                <w:vertAlign w:val="subscript"/>
              </w:rPr>
              <w:t>2</w:t>
            </w:r>
            <w:r w:rsidRPr="00DE7376">
              <w:rPr>
                <w:b/>
              </w:rPr>
              <w:t>La</w:t>
            </w:r>
            <w:r w:rsidRPr="00DE7376">
              <w:rPr>
                <w:b/>
                <w:vertAlign w:val="subscript"/>
              </w:rPr>
              <w:t>2</w:t>
            </w:r>
            <w:r w:rsidRPr="00DE7376">
              <w:rPr>
                <w:b/>
              </w:rPr>
              <w:t>O</w:t>
            </w:r>
            <w:r w:rsidRPr="00DE7376">
              <w:rPr>
                <w:b/>
                <w:vertAlign w:val="subscript"/>
              </w:rPr>
              <w:t>8</w:t>
            </w:r>
            <w:r w:rsidRPr="00DE7376">
              <w:rPr>
                <w:b/>
              </w:rPr>
              <w:t>: Eu(0.5%), Tb(0.4%)</w:t>
            </w:r>
          </w:p>
        </w:tc>
        <w:tc>
          <w:tcPr>
            <w:tcW w:w="590" w:type="dxa"/>
            <w:vAlign w:val="center"/>
          </w:tcPr>
          <w:p w:rsidR="00814131" w:rsidRPr="00DE7376" w:rsidRDefault="00814131" w:rsidP="009B134A">
            <w:pPr>
              <w:jc w:val="right"/>
            </w:pPr>
            <w:r w:rsidRPr="00DE7376">
              <w:t>12</w:t>
            </w:r>
          </w:p>
        </w:tc>
        <w:tc>
          <w:tcPr>
            <w:tcW w:w="704" w:type="dxa"/>
            <w:vAlign w:val="center"/>
          </w:tcPr>
          <w:p w:rsidR="00814131" w:rsidRPr="00DE7376" w:rsidRDefault="00814131" w:rsidP="009B134A">
            <w:pPr>
              <w:jc w:val="right"/>
            </w:pPr>
            <w:r w:rsidRPr="00DE7376">
              <w:t>7</w:t>
            </w:r>
          </w:p>
        </w:tc>
        <w:tc>
          <w:tcPr>
            <w:tcW w:w="704" w:type="dxa"/>
            <w:vAlign w:val="center"/>
          </w:tcPr>
          <w:p w:rsidR="00814131" w:rsidRPr="00DE7376" w:rsidRDefault="00814131" w:rsidP="009B134A">
            <w:pPr>
              <w:jc w:val="right"/>
            </w:pPr>
            <w:r w:rsidRPr="00DE7376">
              <w:t>14</w:t>
            </w:r>
          </w:p>
        </w:tc>
        <w:tc>
          <w:tcPr>
            <w:tcW w:w="704" w:type="dxa"/>
            <w:vAlign w:val="center"/>
          </w:tcPr>
          <w:p w:rsidR="00814131" w:rsidRPr="00DE7376" w:rsidRDefault="00814131" w:rsidP="009B134A">
            <w:pPr>
              <w:jc w:val="right"/>
            </w:pPr>
            <w:r w:rsidRPr="00DE7376">
              <w:t>7</w:t>
            </w:r>
          </w:p>
        </w:tc>
        <w:tc>
          <w:tcPr>
            <w:tcW w:w="704" w:type="dxa"/>
            <w:vAlign w:val="center"/>
          </w:tcPr>
          <w:p w:rsidR="00814131" w:rsidRPr="00DE7376" w:rsidRDefault="00814131" w:rsidP="009B134A">
            <w:pPr>
              <w:jc w:val="right"/>
            </w:pPr>
            <w:r w:rsidRPr="00DE7376">
              <w:t>5</w:t>
            </w:r>
          </w:p>
        </w:tc>
        <w:tc>
          <w:tcPr>
            <w:tcW w:w="704" w:type="dxa"/>
            <w:vAlign w:val="center"/>
          </w:tcPr>
          <w:p w:rsidR="00814131" w:rsidRPr="00DE7376" w:rsidRDefault="00814131" w:rsidP="009B134A">
            <w:pPr>
              <w:jc w:val="right"/>
            </w:pPr>
            <w:r w:rsidRPr="00DE7376">
              <w:t>14</w:t>
            </w:r>
          </w:p>
        </w:tc>
        <w:tc>
          <w:tcPr>
            <w:tcW w:w="704" w:type="dxa"/>
            <w:vAlign w:val="center"/>
          </w:tcPr>
          <w:p w:rsidR="00814131" w:rsidRPr="00DE7376" w:rsidRDefault="00814131" w:rsidP="009B134A">
            <w:pPr>
              <w:jc w:val="right"/>
            </w:pPr>
            <w:r w:rsidRPr="00DE7376">
              <w:t>7</w:t>
            </w:r>
          </w:p>
        </w:tc>
        <w:tc>
          <w:tcPr>
            <w:tcW w:w="704" w:type="dxa"/>
            <w:vAlign w:val="center"/>
          </w:tcPr>
          <w:p w:rsidR="00814131" w:rsidRPr="00DE7376" w:rsidRDefault="00814131" w:rsidP="009B134A">
            <w:pPr>
              <w:jc w:val="right"/>
            </w:pPr>
            <w:r w:rsidRPr="00DE7376">
              <w:t>7</w:t>
            </w:r>
          </w:p>
        </w:tc>
        <w:tc>
          <w:tcPr>
            <w:tcW w:w="704" w:type="dxa"/>
            <w:vAlign w:val="center"/>
          </w:tcPr>
          <w:p w:rsidR="00814131" w:rsidRPr="00DE7376" w:rsidRDefault="00814131" w:rsidP="009B134A">
            <w:pPr>
              <w:jc w:val="right"/>
            </w:pPr>
            <w:r w:rsidRPr="00DE7376">
              <w:t>14</w:t>
            </w:r>
          </w:p>
        </w:tc>
      </w:tr>
      <w:tr w:rsidR="00814131" w:rsidRPr="00DE7376" w:rsidTr="009B134A">
        <w:tc>
          <w:tcPr>
            <w:tcW w:w="777" w:type="dxa"/>
            <w:vAlign w:val="center"/>
          </w:tcPr>
          <w:p w:rsidR="00814131" w:rsidRPr="00DE7376" w:rsidRDefault="00814131" w:rsidP="009B134A">
            <w:pPr>
              <w:jc w:val="center"/>
              <w:rPr>
                <w:b/>
              </w:rPr>
            </w:pPr>
            <w:r w:rsidRPr="00DE7376">
              <w:rPr>
                <w:b/>
              </w:rPr>
              <w:t>5</w:t>
            </w:r>
          </w:p>
        </w:tc>
        <w:tc>
          <w:tcPr>
            <w:tcW w:w="1768" w:type="dxa"/>
            <w:vAlign w:val="center"/>
          </w:tcPr>
          <w:p w:rsidR="00814131" w:rsidRPr="00DE7376" w:rsidRDefault="00814131" w:rsidP="009B134A">
            <w:pPr>
              <w:rPr>
                <w:b/>
              </w:rPr>
            </w:pPr>
            <w:r w:rsidRPr="00DE7376">
              <w:rPr>
                <w:b/>
              </w:rPr>
              <w:t>Al</w:t>
            </w:r>
            <w:r w:rsidRPr="00DE7376">
              <w:rPr>
                <w:b/>
                <w:vertAlign w:val="subscript"/>
              </w:rPr>
              <w:t>2</w:t>
            </w:r>
            <w:r w:rsidRPr="00DE7376">
              <w:rPr>
                <w:b/>
              </w:rPr>
              <w:t>Sr</w:t>
            </w:r>
            <w:r w:rsidRPr="00DE7376">
              <w:rPr>
                <w:b/>
                <w:vertAlign w:val="subscript"/>
              </w:rPr>
              <w:t>2</w:t>
            </w:r>
            <w:r w:rsidRPr="00DE7376">
              <w:rPr>
                <w:b/>
              </w:rPr>
              <w:t>La</w:t>
            </w:r>
            <w:r w:rsidRPr="00DE7376">
              <w:rPr>
                <w:b/>
                <w:vertAlign w:val="subscript"/>
              </w:rPr>
              <w:t>2</w:t>
            </w:r>
            <w:r w:rsidRPr="00DE7376">
              <w:rPr>
                <w:b/>
              </w:rPr>
              <w:t>O</w:t>
            </w:r>
            <w:r w:rsidRPr="00DE7376">
              <w:rPr>
                <w:b/>
                <w:vertAlign w:val="subscript"/>
              </w:rPr>
              <w:t>8</w:t>
            </w:r>
            <w:r w:rsidRPr="00DE7376">
              <w:rPr>
                <w:b/>
              </w:rPr>
              <w:t>: Eu(0.5%), Tb(0.5%)</w:t>
            </w:r>
          </w:p>
        </w:tc>
        <w:tc>
          <w:tcPr>
            <w:tcW w:w="590" w:type="dxa"/>
            <w:vAlign w:val="center"/>
          </w:tcPr>
          <w:p w:rsidR="00814131" w:rsidRPr="00DE7376" w:rsidRDefault="00814131" w:rsidP="009B134A">
            <w:pPr>
              <w:jc w:val="right"/>
            </w:pPr>
            <w:r w:rsidRPr="00DE7376">
              <w:t>21</w:t>
            </w:r>
          </w:p>
        </w:tc>
        <w:tc>
          <w:tcPr>
            <w:tcW w:w="704" w:type="dxa"/>
            <w:vAlign w:val="center"/>
          </w:tcPr>
          <w:p w:rsidR="00814131" w:rsidRPr="00DE7376" w:rsidRDefault="00814131" w:rsidP="009B134A">
            <w:pPr>
              <w:jc w:val="right"/>
            </w:pPr>
            <w:r w:rsidRPr="00DE7376">
              <w:t>14</w:t>
            </w:r>
          </w:p>
        </w:tc>
        <w:tc>
          <w:tcPr>
            <w:tcW w:w="704" w:type="dxa"/>
            <w:vAlign w:val="center"/>
          </w:tcPr>
          <w:p w:rsidR="00814131" w:rsidRPr="00DE7376" w:rsidRDefault="00814131" w:rsidP="009B134A">
            <w:pPr>
              <w:jc w:val="right"/>
            </w:pPr>
            <w:r w:rsidRPr="00DE7376">
              <w:t>27</w:t>
            </w:r>
          </w:p>
        </w:tc>
        <w:tc>
          <w:tcPr>
            <w:tcW w:w="704" w:type="dxa"/>
            <w:vAlign w:val="center"/>
          </w:tcPr>
          <w:p w:rsidR="00814131" w:rsidRPr="00DE7376" w:rsidRDefault="00814131" w:rsidP="009B134A">
            <w:pPr>
              <w:jc w:val="right"/>
            </w:pPr>
            <w:r w:rsidRPr="00DE7376">
              <w:t>13</w:t>
            </w:r>
          </w:p>
        </w:tc>
        <w:tc>
          <w:tcPr>
            <w:tcW w:w="704" w:type="dxa"/>
            <w:vAlign w:val="center"/>
          </w:tcPr>
          <w:p w:rsidR="00814131" w:rsidRPr="00DE7376" w:rsidRDefault="00814131" w:rsidP="009B134A">
            <w:pPr>
              <w:jc w:val="right"/>
            </w:pPr>
            <w:r w:rsidRPr="00DE7376">
              <w:t>11</w:t>
            </w:r>
          </w:p>
        </w:tc>
        <w:tc>
          <w:tcPr>
            <w:tcW w:w="704" w:type="dxa"/>
            <w:vAlign w:val="center"/>
          </w:tcPr>
          <w:p w:rsidR="00814131" w:rsidRPr="00DE7376" w:rsidRDefault="00814131" w:rsidP="009B134A">
            <w:pPr>
              <w:jc w:val="right"/>
            </w:pPr>
            <w:r w:rsidRPr="00DE7376">
              <w:t>26</w:t>
            </w:r>
          </w:p>
        </w:tc>
        <w:tc>
          <w:tcPr>
            <w:tcW w:w="704" w:type="dxa"/>
            <w:vAlign w:val="center"/>
          </w:tcPr>
          <w:p w:rsidR="00814131" w:rsidRPr="00DE7376" w:rsidRDefault="00814131" w:rsidP="009B134A">
            <w:pPr>
              <w:jc w:val="right"/>
            </w:pPr>
            <w:r w:rsidRPr="00DE7376">
              <w:t>14</w:t>
            </w:r>
          </w:p>
        </w:tc>
        <w:tc>
          <w:tcPr>
            <w:tcW w:w="704" w:type="dxa"/>
            <w:vAlign w:val="center"/>
          </w:tcPr>
          <w:p w:rsidR="00814131" w:rsidRPr="00DE7376" w:rsidRDefault="00814131" w:rsidP="009B134A">
            <w:pPr>
              <w:jc w:val="right"/>
            </w:pPr>
            <w:r w:rsidRPr="00DE7376">
              <w:t>13</w:t>
            </w:r>
          </w:p>
        </w:tc>
        <w:tc>
          <w:tcPr>
            <w:tcW w:w="704" w:type="dxa"/>
            <w:vAlign w:val="center"/>
          </w:tcPr>
          <w:p w:rsidR="00814131" w:rsidRPr="00DE7376" w:rsidRDefault="00814131" w:rsidP="009B134A">
            <w:pPr>
              <w:jc w:val="right"/>
            </w:pPr>
            <w:r w:rsidRPr="00DE7376">
              <w:t>27</w:t>
            </w:r>
          </w:p>
        </w:tc>
      </w:tr>
      <w:tr w:rsidR="00814131" w:rsidRPr="00DE7376" w:rsidTr="009B134A">
        <w:tc>
          <w:tcPr>
            <w:tcW w:w="777" w:type="dxa"/>
            <w:vAlign w:val="center"/>
          </w:tcPr>
          <w:p w:rsidR="00814131" w:rsidRPr="00DE7376" w:rsidRDefault="00814131" w:rsidP="009B134A">
            <w:pPr>
              <w:jc w:val="center"/>
              <w:rPr>
                <w:b/>
              </w:rPr>
            </w:pPr>
            <w:r w:rsidRPr="00DE7376">
              <w:rPr>
                <w:b/>
              </w:rPr>
              <w:t>6</w:t>
            </w:r>
          </w:p>
        </w:tc>
        <w:tc>
          <w:tcPr>
            <w:tcW w:w="1768" w:type="dxa"/>
            <w:vAlign w:val="center"/>
          </w:tcPr>
          <w:p w:rsidR="00814131" w:rsidRPr="00DE7376" w:rsidRDefault="00814131" w:rsidP="009B134A">
            <w:pPr>
              <w:rPr>
                <w:b/>
              </w:rPr>
            </w:pPr>
            <w:r w:rsidRPr="00DE7376">
              <w:rPr>
                <w:b/>
              </w:rPr>
              <w:t>Al</w:t>
            </w:r>
            <w:r w:rsidRPr="00DE7376">
              <w:rPr>
                <w:b/>
                <w:vertAlign w:val="subscript"/>
              </w:rPr>
              <w:t>2</w:t>
            </w:r>
            <w:r w:rsidRPr="00DE7376">
              <w:rPr>
                <w:b/>
              </w:rPr>
              <w:t>Sr</w:t>
            </w:r>
            <w:r w:rsidRPr="00DE7376">
              <w:rPr>
                <w:b/>
                <w:vertAlign w:val="subscript"/>
              </w:rPr>
              <w:t>2</w:t>
            </w:r>
            <w:r w:rsidRPr="00DE7376">
              <w:rPr>
                <w:b/>
              </w:rPr>
              <w:t>La</w:t>
            </w:r>
            <w:r w:rsidRPr="00DE7376">
              <w:rPr>
                <w:b/>
                <w:vertAlign w:val="subscript"/>
              </w:rPr>
              <w:t>2</w:t>
            </w:r>
            <w:r w:rsidRPr="00DE7376">
              <w:rPr>
                <w:b/>
              </w:rPr>
              <w:t>O</w:t>
            </w:r>
            <w:r w:rsidRPr="00DE7376">
              <w:rPr>
                <w:b/>
                <w:vertAlign w:val="subscript"/>
              </w:rPr>
              <w:t>8</w:t>
            </w:r>
            <w:r w:rsidRPr="00DE7376">
              <w:rPr>
                <w:b/>
              </w:rPr>
              <w:t>: Eu(0.5%), Tb(0.7%)</w:t>
            </w:r>
          </w:p>
        </w:tc>
        <w:tc>
          <w:tcPr>
            <w:tcW w:w="590" w:type="dxa"/>
            <w:vAlign w:val="center"/>
          </w:tcPr>
          <w:p w:rsidR="00814131" w:rsidRPr="00DE7376" w:rsidRDefault="00814131" w:rsidP="009B134A">
            <w:pPr>
              <w:jc w:val="right"/>
            </w:pPr>
            <w:r w:rsidRPr="00DE7376">
              <w:t>15</w:t>
            </w:r>
          </w:p>
        </w:tc>
        <w:tc>
          <w:tcPr>
            <w:tcW w:w="704" w:type="dxa"/>
            <w:vAlign w:val="center"/>
          </w:tcPr>
          <w:p w:rsidR="00814131" w:rsidRPr="00DE7376" w:rsidRDefault="00814131" w:rsidP="009B134A">
            <w:pPr>
              <w:jc w:val="right"/>
            </w:pPr>
            <w:r w:rsidRPr="00DE7376">
              <w:t>8</w:t>
            </w:r>
          </w:p>
        </w:tc>
        <w:tc>
          <w:tcPr>
            <w:tcW w:w="704" w:type="dxa"/>
            <w:vAlign w:val="center"/>
          </w:tcPr>
          <w:p w:rsidR="00814131" w:rsidRPr="00DE7376" w:rsidRDefault="00814131" w:rsidP="009B134A">
            <w:pPr>
              <w:jc w:val="right"/>
            </w:pPr>
            <w:r w:rsidRPr="00DE7376">
              <w:t>15</w:t>
            </w:r>
          </w:p>
        </w:tc>
        <w:tc>
          <w:tcPr>
            <w:tcW w:w="704" w:type="dxa"/>
            <w:vAlign w:val="center"/>
          </w:tcPr>
          <w:p w:rsidR="00814131" w:rsidRPr="00DE7376" w:rsidRDefault="00814131" w:rsidP="009B134A">
            <w:pPr>
              <w:jc w:val="right"/>
            </w:pPr>
            <w:r w:rsidRPr="00DE7376">
              <w:t>7</w:t>
            </w:r>
          </w:p>
        </w:tc>
        <w:tc>
          <w:tcPr>
            <w:tcW w:w="704" w:type="dxa"/>
            <w:vAlign w:val="center"/>
          </w:tcPr>
          <w:p w:rsidR="00814131" w:rsidRPr="00DE7376" w:rsidRDefault="00814131" w:rsidP="009B134A">
            <w:pPr>
              <w:jc w:val="right"/>
            </w:pPr>
            <w:r w:rsidRPr="00DE7376">
              <w:t>7</w:t>
            </w:r>
          </w:p>
        </w:tc>
        <w:tc>
          <w:tcPr>
            <w:tcW w:w="704" w:type="dxa"/>
            <w:vAlign w:val="center"/>
          </w:tcPr>
          <w:p w:rsidR="00814131" w:rsidRPr="00DE7376" w:rsidRDefault="00814131" w:rsidP="009B134A">
            <w:pPr>
              <w:jc w:val="right"/>
            </w:pPr>
            <w:r w:rsidRPr="00DE7376">
              <w:t>15</w:t>
            </w:r>
          </w:p>
        </w:tc>
        <w:tc>
          <w:tcPr>
            <w:tcW w:w="704" w:type="dxa"/>
            <w:vAlign w:val="center"/>
          </w:tcPr>
          <w:p w:rsidR="00814131" w:rsidRPr="00DE7376" w:rsidRDefault="00814131" w:rsidP="009B134A">
            <w:pPr>
              <w:jc w:val="right"/>
            </w:pPr>
            <w:r w:rsidRPr="00DE7376">
              <w:t>7</w:t>
            </w:r>
          </w:p>
        </w:tc>
        <w:tc>
          <w:tcPr>
            <w:tcW w:w="704" w:type="dxa"/>
            <w:vAlign w:val="center"/>
          </w:tcPr>
          <w:p w:rsidR="00814131" w:rsidRPr="00DE7376" w:rsidRDefault="00814131" w:rsidP="009B134A">
            <w:pPr>
              <w:jc w:val="right"/>
            </w:pPr>
            <w:r w:rsidRPr="00DE7376">
              <w:t>7</w:t>
            </w:r>
          </w:p>
        </w:tc>
        <w:tc>
          <w:tcPr>
            <w:tcW w:w="704" w:type="dxa"/>
            <w:vAlign w:val="center"/>
          </w:tcPr>
          <w:p w:rsidR="00814131" w:rsidRPr="00DE7376" w:rsidRDefault="00814131" w:rsidP="009B134A">
            <w:pPr>
              <w:jc w:val="right"/>
            </w:pPr>
            <w:r w:rsidRPr="00DE7376">
              <w:t>13</w:t>
            </w:r>
          </w:p>
        </w:tc>
      </w:tr>
      <w:tr w:rsidR="00814131" w:rsidRPr="00DE7376" w:rsidTr="009B134A">
        <w:tc>
          <w:tcPr>
            <w:tcW w:w="777" w:type="dxa"/>
            <w:vAlign w:val="center"/>
          </w:tcPr>
          <w:p w:rsidR="00814131" w:rsidRPr="00DE7376" w:rsidRDefault="00814131" w:rsidP="009B134A">
            <w:pPr>
              <w:jc w:val="center"/>
              <w:rPr>
                <w:b/>
              </w:rPr>
            </w:pPr>
            <w:r w:rsidRPr="00DE7376">
              <w:rPr>
                <w:b/>
              </w:rPr>
              <w:t>7</w:t>
            </w:r>
          </w:p>
        </w:tc>
        <w:tc>
          <w:tcPr>
            <w:tcW w:w="1768" w:type="dxa"/>
            <w:vAlign w:val="center"/>
          </w:tcPr>
          <w:p w:rsidR="00814131" w:rsidRPr="00DE7376" w:rsidRDefault="00814131" w:rsidP="009B134A">
            <w:pPr>
              <w:rPr>
                <w:b/>
              </w:rPr>
            </w:pPr>
            <w:r w:rsidRPr="00DE7376">
              <w:rPr>
                <w:b/>
              </w:rPr>
              <w:t>Al</w:t>
            </w:r>
            <w:r w:rsidRPr="00DE7376">
              <w:rPr>
                <w:b/>
                <w:vertAlign w:val="subscript"/>
              </w:rPr>
              <w:t>2</w:t>
            </w:r>
            <w:r w:rsidRPr="00DE7376">
              <w:rPr>
                <w:b/>
              </w:rPr>
              <w:t>Sr</w:t>
            </w:r>
            <w:r w:rsidRPr="00DE7376">
              <w:rPr>
                <w:b/>
                <w:vertAlign w:val="subscript"/>
              </w:rPr>
              <w:t>2</w:t>
            </w:r>
            <w:r w:rsidRPr="00DE7376">
              <w:rPr>
                <w:b/>
              </w:rPr>
              <w:t>La</w:t>
            </w:r>
            <w:r w:rsidRPr="00DE7376">
              <w:rPr>
                <w:b/>
                <w:vertAlign w:val="subscript"/>
              </w:rPr>
              <w:t>2</w:t>
            </w:r>
            <w:r w:rsidRPr="00DE7376">
              <w:rPr>
                <w:b/>
              </w:rPr>
              <w:t>O</w:t>
            </w:r>
            <w:r w:rsidRPr="00DE7376">
              <w:rPr>
                <w:b/>
                <w:vertAlign w:val="subscript"/>
              </w:rPr>
              <w:t>8</w:t>
            </w:r>
            <w:r w:rsidRPr="00DE7376">
              <w:rPr>
                <w:b/>
              </w:rPr>
              <w:t>: Eu(0.5%), Tb(1.0%)</w:t>
            </w:r>
          </w:p>
        </w:tc>
        <w:tc>
          <w:tcPr>
            <w:tcW w:w="590" w:type="dxa"/>
            <w:vAlign w:val="center"/>
          </w:tcPr>
          <w:p w:rsidR="00814131" w:rsidRPr="00DE7376" w:rsidRDefault="00814131" w:rsidP="009B134A">
            <w:pPr>
              <w:jc w:val="right"/>
            </w:pPr>
            <w:r w:rsidRPr="00DE7376">
              <w:t>8</w:t>
            </w:r>
          </w:p>
        </w:tc>
        <w:tc>
          <w:tcPr>
            <w:tcW w:w="704" w:type="dxa"/>
            <w:vAlign w:val="center"/>
          </w:tcPr>
          <w:p w:rsidR="00814131" w:rsidRPr="00DE7376" w:rsidRDefault="00814131" w:rsidP="009B134A">
            <w:pPr>
              <w:jc w:val="right"/>
            </w:pPr>
            <w:r w:rsidRPr="00DE7376">
              <w:t>4</w:t>
            </w:r>
          </w:p>
        </w:tc>
        <w:tc>
          <w:tcPr>
            <w:tcW w:w="704" w:type="dxa"/>
            <w:vAlign w:val="center"/>
          </w:tcPr>
          <w:p w:rsidR="00814131" w:rsidRPr="00DE7376" w:rsidRDefault="00814131" w:rsidP="009B134A">
            <w:pPr>
              <w:jc w:val="right"/>
            </w:pPr>
            <w:r w:rsidRPr="00DE7376">
              <w:t>7</w:t>
            </w:r>
          </w:p>
        </w:tc>
        <w:tc>
          <w:tcPr>
            <w:tcW w:w="704" w:type="dxa"/>
            <w:vAlign w:val="center"/>
          </w:tcPr>
          <w:p w:rsidR="00814131" w:rsidRPr="00DE7376" w:rsidRDefault="00814131" w:rsidP="009B134A">
            <w:pPr>
              <w:jc w:val="right"/>
            </w:pPr>
            <w:r w:rsidRPr="00DE7376">
              <w:t>6</w:t>
            </w:r>
          </w:p>
        </w:tc>
        <w:tc>
          <w:tcPr>
            <w:tcW w:w="704" w:type="dxa"/>
            <w:vAlign w:val="center"/>
          </w:tcPr>
          <w:p w:rsidR="00814131" w:rsidRPr="00DE7376" w:rsidRDefault="00814131" w:rsidP="009B134A">
            <w:pPr>
              <w:jc w:val="right"/>
            </w:pPr>
            <w:r w:rsidRPr="00DE7376">
              <w:t>3</w:t>
            </w:r>
          </w:p>
        </w:tc>
        <w:tc>
          <w:tcPr>
            <w:tcW w:w="704" w:type="dxa"/>
            <w:vAlign w:val="center"/>
          </w:tcPr>
          <w:p w:rsidR="00814131" w:rsidRPr="00DE7376" w:rsidRDefault="00814131" w:rsidP="009B134A">
            <w:pPr>
              <w:jc w:val="right"/>
            </w:pPr>
            <w:r w:rsidRPr="00DE7376">
              <w:t>7</w:t>
            </w:r>
          </w:p>
        </w:tc>
        <w:tc>
          <w:tcPr>
            <w:tcW w:w="704" w:type="dxa"/>
            <w:vAlign w:val="center"/>
          </w:tcPr>
          <w:p w:rsidR="00814131" w:rsidRPr="00DE7376" w:rsidRDefault="00814131" w:rsidP="009B134A">
            <w:pPr>
              <w:jc w:val="right"/>
            </w:pPr>
            <w:r w:rsidRPr="00DE7376">
              <w:t>3</w:t>
            </w:r>
          </w:p>
        </w:tc>
        <w:tc>
          <w:tcPr>
            <w:tcW w:w="704" w:type="dxa"/>
            <w:vAlign w:val="center"/>
          </w:tcPr>
          <w:p w:rsidR="00814131" w:rsidRPr="00DE7376" w:rsidRDefault="00814131" w:rsidP="009B134A">
            <w:pPr>
              <w:jc w:val="right"/>
            </w:pPr>
            <w:r w:rsidRPr="00DE7376">
              <w:t>3</w:t>
            </w:r>
          </w:p>
        </w:tc>
        <w:tc>
          <w:tcPr>
            <w:tcW w:w="704" w:type="dxa"/>
            <w:vAlign w:val="center"/>
          </w:tcPr>
          <w:p w:rsidR="00814131" w:rsidRPr="00DE7376" w:rsidRDefault="00814131" w:rsidP="009B134A">
            <w:pPr>
              <w:jc w:val="right"/>
            </w:pPr>
            <w:r w:rsidRPr="00DE7376">
              <w:t>6</w:t>
            </w:r>
          </w:p>
        </w:tc>
      </w:tr>
      <w:tr w:rsidR="00814131" w:rsidRPr="00DE7376" w:rsidTr="009B134A">
        <w:tc>
          <w:tcPr>
            <w:tcW w:w="777" w:type="dxa"/>
            <w:vAlign w:val="center"/>
          </w:tcPr>
          <w:p w:rsidR="00814131" w:rsidRPr="00DE7376" w:rsidRDefault="00814131" w:rsidP="009B134A">
            <w:pPr>
              <w:jc w:val="center"/>
              <w:rPr>
                <w:b/>
              </w:rPr>
            </w:pPr>
            <w:r w:rsidRPr="00DE7376">
              <w:rPr>
                <w:b/>
              </w:rPr>
              <w:t>8</w:t>
            </w:r>
          </w:p>
        </w:tc>
        <w:tc>
          <w:tcPr>
            <w:tcW w:w="1768" w:type="dxa"/>
            <w:vAlign w:val="center"/>
          </w:tcPr>
          <w:p w:rsidR="00814131" w:rsidRPr="00DE7376" w:rsidRDefault="00814131" w:rsidP="009B134A">
            <w:pPr>
              <w:rPr>
                <w:b/>
              </w:rPr>
            </w:pPr>
            <w:r w:rsidRPr="00DE7376">
              <w:rPr>
                <w:b/>
              </w:rPr>
              <w:t>Al</w:t>
            </w:r>
            <w:r w:rsidRPr="00DE7376">
              <w:rPr>
                <w:b/>
                <w:vertAlign w:val="subscript"/>
              </w:rPr>
              <w:t>2</w:t>
            </w:r>
            <w:r w:rsidRPr="00DE7376">
              <w:rPr>
                <w:b/>
              </w:rPr>
              <w:t>Sr</w:t>
            </w:r>
            <w:r w:rsidRPr="00DE7376">
              <w:rPr>
                <w:b/>
                <w:vertAlign w:val="subscript"/>
              </w:rPr>
              <w:t>2</w:t>
            </w:r>
            <w:r w:rsidRPr="00DE7376">
              <w:rPr>
                <w:b/>
              </w:rPr>
              <w:t>La</w:t>
            </w:r>
            <w:r w:rsidRPr="00DE7376">
              <w:rPr>
                <w:b/>
                <w:vertAlign w:val="subscript"/>
              </w:rPr>
              <w:t>2</w:t>
            </w:r>
            <w:r w:rsidRPr="00DE7376">
              <w:rPr>
                <w:b/>
              </w:rPr>
              <w:t>O</w:t>
            </w:r>
            <w:r w:rsidRPr="00DE7376">
              <w:rPr>
                <w:b/>
                <w:vertAlign w:val="subscript"/>
              </w:rPr>
              <w:t>8</w:t>
            </w:r>
            <w:r w:rsidRPr="00DE7376">
              <w:rPr>
                <w:b/>
              </w:rPr>
              <w:t>: Eu(0.5%), Tb(1.5%)</w:t>
            </w:r>
          </w:p>
        </w:tc>
        <w:tc>
          <w:tcPr>
            <w:tcW w:w="590" w:type="dxa"/>
            <w:vAlign w:val="center"/>
          </w:tcPr>
          <w:p w:rsidR="00814131" w:rsidRPr="00DE7376" w:rsidRDefault="00814131" w:rsidP="009B134A">
            <w:pPr>
              <w:jc w:val="right"/>
            </w:pPr>
            <w:r w:rsidRPr="00DE7376">
              <w:t>10</w:t>
            </w:r>
          </w:p>
        </w:tc>
        <w:tc>
          <w:tcPr>
            <w:tcW w:w="704" w:type="dxa"/>
            <w:vAlign w:val="center"/>
          </w:tcPr>
          <w:p w:rsidR="00814131" w:rsidRPr="00DE7376" w:rsidRDefault="00814131" w:rsidP="009B134A">
            <w:pPr>
              <w:jc w:val="right"/>
            </w:pPr>
            <w:r w:rsidRPr="00DE7376">
              <w:t>5</w:t>
            </w:r>
          </w:p>
        </w:tc>
        <w:tc>
          <w:tcPr>
            <w:tcW w:w="704" w:type="dxa"/>
            <w:vAlign w:val="center"/>
          </w:tcPr>
          <w:p w:rsidR="00814131" w:rsidRPr="00DE7376" w:rsidRDefault="00814131" w:rsidP="009B134A">
            <w:pPr>
              <w:jc w:val="right"/>
            </w:pPr>
            <w:r w:rsidRPr="00DE7376">
              <w:t>7</w:t>
            </w:r>
          </w:p>
        </w:tc>
        <w:tc>
          <w:tcPr>
            <w:tcW w:w="704" w:type="dxa"/>
            <w:vAlign w:val="center"/>
          </w:tcPr>
          <w:p w:rsidR="00814131" w:rsidRPr="00DE7376" w:rsidRDefault="00814131" w:rsidP="009B134A">
            <w:pPr>
              <w:jc w:val="right"/>
            </w:pPr>
            <w:r w:rsidRPr="00DE7376">
              <w:t>5</w:t>
            </w:r>
          </w:p>
        </w:tc>
        <w:tc>
          <w:tcPr>
            <w:tcW w:w="704" w:type="dxa"/>
            <w:vAlign w:val="center"/>
          </w:tcPr>
          <w:p w:rsidR="00814131" w:rsidRPr="00DE7376" w:rsidRDefault="00814131" w:rsidP="009B134A">
            <w:pPr>
              <w:jc w:val="right"/>
            </w:pPr>
            <w:r w:rsidRPr="00DE7376">
              <w:t>4</w:t>
            </w:r>
          </w:p>
        </w:tc>
        <w:tc>
          <w:tcPr>
            <w:tcW w:w="704" w:type="dxa"/>
            <w:vAlign w:val="center"/>
          </w:tcPr>
          <w:p w:rsidR="00814131" w:rsidRPr="00DE7376" w:rsidRDefault="00814131" w:rsidP="009B134A">
            <w:pPr>
              <w:jc w:val="right"/>
            </w:pPr>
            <w:r w:rsidRPr="00DE7376">
              <w:t>6</w:t>
            </w:r>
          </w:p>
        </w:tc>
        <w:tc>
          <w:tcPr>
            <w:tcW w:w="704" w:type="dxa"/>
            <w:vAlign w:val="center"/>
          </w:tcPr>
          <w:p w:rsidR="00814131" w:rsidRPr="00DE7376" w:rsidRDefault="00814131" w:rsidP="009B134A">
            <w:pPr>
              <w:jc w:val="right"/>
            </w:pPr>
            <w:r w:rsidRPr="00DE7376">
              <w:t>4</w:t>
            </w:r>
          </w:p>
        </w:tc>
        <w:tc>
          <w:tcPr>
            <w:tcW w:w="704" w:type="dxa"/>
            <w:vAlign w:val="center"/>
          </w:tcPr>
          <w:p w:rsidR="00814131" w:rsidRPr="00DE7376" w:rsidRDefault="00814131" w:rsidP="009B134A">
            <w:pPr>
              <w:jc w:val="right"/>
            </w:pPr>
            <w:r w:rsidRPr="00DE7376">
              <w:t>3</w:t>
            </w:r>
          </w:p>
        </w:tc>
        <w:tc>
          <w:tcPr>
            <w:tcW w:w="704" w:type="dxa"/>
            <w:vAlign w:val="center"/>
          </w:tcPr>
          <w:p w:rsidR="00814131" w:rsidRPr="00DE7376" w:rsidRDefault="00814131" w:rsidP="009B134A">
            <w:pPr>
              <w:jc w:val="right"/>
            </w:pPr>
            <w:r w:rsidRPr="00DE7376">
              <w:t>4</w:t>
            </w:r>
          </w:p>
        </w:tc>
      </w:tr>
      <w:tr w:rsidR="00814131" w:rsidRPr="00DE7376" w:rsidTr="009B134A">
        <w:tc>
          <w:tcPr>
            <w:tcW w:w="777" w:type="dxa"/>
            <w:vAlign w:val="center"/>
          </w:tcPr>
          <w:p w:rsidR="00814131" w:rsidRPr="00DE7376" w:rsidRDefault="00814131" w:rsidP="009B134A">
            <w:pPr>
              <w:jc w:val="center"/>
              <w:rPr>
                <w:b/>
              </w:rPr>
            </w:pPr>
            <w:r w:rsidRPr="00DE7376">
              <w:rPr>
                <w:b/>
              </w:rPr>
              <w:t>9</w:t>
            </w:r>
          </w:p>
        </w:tc>
        <w:tc>
          <w:tcPr>
            <w:tcW w:w="1768" w:type="dxa"/>
            <w:vAlign w:val="center"/>
          </w:tcPr>
          <w:p w:rsidR="00814131" w:rsidRPr="00DE7376" w:rsidRDefault="00814131" w:rsidP="009B134A">
            <w:pPr>
              <w:rPr>
                <w:b/>
              </w:rPr>
            </w:pPr>
            <w:r w:rsidRPr="00DE7376">
              <w:rPr>
                <w:b/>
              </w:rPr>
              <w:t>Al</w:t>
            </w:r>
            <w:r w:rsidRPr="00DE7376">
              <w:rPr>
                <w:b/>
                <w:vertAlign w:val="subscript"/>
              </w:rPr>
              <w:t>2</w:t>
            </w:r>
            <w:r w:rsidRPr="00DE7376">
              <w:rPr>
                <w:b/>
              </w:rPr>
              <w:t>Sr</w:t>
            </w:r>
            <w:r w:rsidRPr="00DE7376">
              <w:rPr>
                <w:b/>
                <w:vertAlign w:val="subscript"/>
              </w:rPr>
              <w:t>2</w:t>
            </w:r>
            <w:r w:rsidRPr="00DE7376">
              <w:rPr>
                <w:b/>
              </w:rPr>
              <w:t>La</w:t>
            </w:r>
            <w:r w:rsidRPr="00DE7376">
              <w:rPr>
                <w:b/>
                <w:vertAlign w:val="subscript"/>
              </w:rPr>
              <w:t>2</w:t>
            </w:r>
            <w:r w:rsidRPr="00DE7376">
              <w:rPr>
                <w:b/>
              </w:rPr>
              <w:t>O</w:t>
            </w:r>
            <w:r w:rsidRPr="00DE7376">
              <w:rPr>
                <w:b/>
                <w:vertAlign w:val="subscript"/>
              </w:rPr>
              <w:t>8</w:t>
            </w:r>
            <w:r w:rsidRPr="00DE7376">
              <w:rPr>
                <w:b/>
              </w:rPr>
              <w:t>: Eu(0.5%), Tb(2.0%)</w:t>
            </w:r>
          </w:p>
        </w:tc>
        <w:tc>
          <w:tcPr>
            <w:tcW w:w="590" w:type="dxa"/>
            <w:vAlign w:val="center"/>
          </w:tcPr>
          <w:p w:rsidR="00814131" w:rsidRPr="00DE7376" w:rsidRDefault="00814131" w:rsidP="009B134A">
            <w:pPr>
              <w:jc w:val="right"/>
            </w:pPr>
            <w:r w:rsidRPr="00DE7376">
              <w:t>11</w:t>
            </w:r>
          </w:p>
        </w:tc>
        <w:tc>
          <w:tcPr>
            <w:tcW w:w="704" w:type="dxa"/>
            <w:vAlign w:val="center"/>
          </w:tcPr>
          <w:p w:rsidR="00814131" w:rsidRPr="00DE7376" w:rsidRDefault="00814131" w:rsidP="009B134A">
            <w:pPr>
              <w:jc w:val="right"/>
            </w:pPr>
            <w:r w:rsidRPr="00DE7376">
              <w:t>6</w:t>
            </w:r>
          </w:p>
        </w:tc>
        <w:tc>
          <w:tcPr>
            <w:tcW w:w="704" w:type="dxa"/>
            <w:vAlign w:val="center"/>
          </w:tcPr>
          <w:p w:rsidR="00814131" w:rsidRPr="00DE7376" w:rsidRDefault="00814131" w:rsidP="009B134A">
            <w:pPr>
              <w:jc w:val="right"/>
            </w:pPr>
            <w:r w:rsidRPr="00DE7376">
              <w:t>9</w:t>
            </w:r>
          </w:p>
        </w:tc>
        <w:tc>
          <w:tcPr>
            <w:tcW w:w="704" w:type="dxa"/>
            <w:vAlign w:val="center"/>
          </w:tcPr>
          <w:p w:rsidR="00814131" w:rsidRPr="00DE7376" w:rsidRDefault="00814131" w:rsidP="009B134A">
            <w:pPr>
              <w:jc w:val="right"/>
            </w:pPr>
            <w:r w:rsidRPr="00DE7376">
              <w:t>7</w:t>
            </w:r>
          </w:p>
        </w:tc>
        <w:tc>
          <w:tcPr>
            <w:tcW w:w="704" w:type="dxa"/>
            <w:vAlign w:val="center"/>
          </w:tcPr>
          <w:p w:rsidR="00814131" w:rsidRPr="00DE7376" w:rsidRDefault="00814131" w:rsidP="009B134A">
            <w:pPr>
              <w:jc w:val="right"/>
            </w:pPr>
            <w:r w:rsidRPr="00DE7376">
              <w:t>4</w:t>
            </w:r>
          </w:p>
        </w:tc>
        <w:tc>
          <w:tcPr>
            <w:tcW w:w="704" w:type="dxa"/>
            <w:vAlign w:val="center"/>
          </w:tcPr>
          <w:p w:rsidR="00814131" w:rsidRPr="00DE7376" w:rsidRDefault="00814131" w:rsidP="009B134A">
            <w:pPr>
              <w:jc w:val="right"/>
            </w:pPr>
            <w:r w:rsidRPr="00DE7376">
              <w:t>5</w:t>
            </w:r>
          </w:p>
        </w:tc>
        <w:tc>
          <w:tcPr>
            <w:tcW w:w="704" w:type="dxa"/>
            <w:vAlign w:val="center"/>
          </w:tcPr>
          <w:p w:rsidR="00814131" w:rsidRPr="00DE7376" w:rsidRDefault="00814131" w:rsidP="009B134A">
            <w:pPr>
              <w:jc w:val="right"/>
            </w:pPr>
            <w:r w:rsidRPr="00DE7376">
              <w:t>4</w:t>
            </w:r>
          </w:p>
        </w:tc>
        <w:tc>
          <w:tcPr>
            <w:tcW w:w="704" w:type="dxa"/>
            <w:vAlign w:val="center"/>
          </w:tcPr>
          <w:p w:rsidR="00814131" w:rsidRPr="00DE7376" w:rsidRDefault="00814131" w:rsidP="009B134A">
            <w:pPr>
              <w:jc w:val="right"/>
            </w:pPr>
            <w:r w:rsidRPr="00DE7376">
              <w:t>3</w:t>
            </w:r>
          </w:p>
        </w:tc>
        <w:tc>
          <w:tcPr>
            <w:tcW w:w="704" w:type="dxa"/>
            <w:vAlign w:val="center"/>
          </w:tcPr>
          <w:p w:rsidR="00814131" w:rsidRPr="00DE7376" w:rsidRDefault="00814131" w:rsidP="009B134A">
            <w:pPr>
              <w:jc w:val="right"/>
            </w:pPr>
            <w:r w:rsidRPr="00DE7376">
              <w:t>3</w:t>
            </w:r>
          </w:p>
        </w:tc>
      </w:tr>
      <w:tr w:rsidR="00814131" w:rsidRPr="00DE7376" w:rsidTr="009B134A">
        <w:tc>
          <w:tcPr>
            <w:tcW w:w="777" w:type="dxa"/>
            <w:vAlign w:val="center"/>
          </w:tcPr>
          <w:p w:rsidR="00814131" w:rsidRPr="00DE7376" w:rsidRDefault="00814131" w:rsidP="009B134A">
            <w:pPr>
              <w:jc w:val="center"/>
              <w:rPr>
                <w:b/>
              </w:rPr>
            </w:pPr>
            <w:r w:rsidRPr="00DE7376">
              <w:rPr>
                <w:b/>
              </w:rPr>
              <w:t>10</w:t>
            </w:r>
          </w:p>
        </w:tc>
        <w:tc>
          <w:tcPr>
            <w:tcW w:w="1768" w:type="dxa"/>
            <w:vAlign w:val="center"/>
          </w:tcPr>
          <w:p w:rsidR="00814131" w:rsidRPr="00DE7376" w:rsidRDefault="00814131" w:rsidP="009B134A">
            <w:pPr>
              <w:rPr>
                <w:b/>
              </w:rPr>
            </w:pPr>
            <w:r w:rsidRPr="00DE7376">
              <w:rPr>
                <w:b/>
              </w:rPr>
              <w:t>Al</w:t>
            </w:r>
            <w:r w:rsidRPr="00DE7376">
              <w:rPr>
                <w:b/>
                <w:vertAlign w:val="subscript"/>
              </w:rPr>
              <w:t>2</w:t>
            </w:r>
            <w:r w:rsidRPr="00DE7376">
              <w:rPr>
                <w:b/>
              </w:rPr>
              <w:t>Sr</w:t>
            </w:r>
            <w:r w:rsidRPr="00DE7376">
              <w:rPr>
                <w:b/>
                <w:vertAlign w:val="subscript"/>
              </w:rPr>
              <w:t>2</w:t>
            </w:r>
            <w:r w:rsidRPr="00DE7376">
              <w:rPr>
                <w:b/>
              </w:rPr>
              <w:t>La</w:t>
            </w:r>
            <w:r w:rsidRPr="00DE7376">
              <w:rPr>
                <w:b/>
                <w:vertAlign w:val="subscript"/>
              </w:rPr>
              <w:t>2</w:t>
            </w:r>
            <w:r w:rsidRPr="00DE7376">
              <w:rPr>
                <w:b/>
              </w:rPr>
              <w:t>O</w:t>
            </w:r>
            <w:r w:rsidRPr="00DE7376">
              <w:rPr>
                <w:b/>
                <w:vertAlign w:val="subscript"/>
              </w:rPr>
              <w:t>8</w:t>
            </w:r>
            <w:r w:rsidRPr="00DE7376">
              <w:rPr>
                <w:b/>
              </w:rPr>
              <w:t>: Eu(0.5%), Tb(2.5%)</w:t>
            </w:r>
          </w:p>
        </w:tc>
        <w:tc>
          <w:tcPr>
            <w:tcW w:w="590" w:type="dxa"/>
            <w:vAlign w:val="center"/>
          </w:tcPr>
          <w:p w:rsidR="00814131" w:rsidRPr="00DE7376" w:rsidRDefault="00814131" w:rsidP="009B134A">
            <w:pPr>
              <w:jc w:val="right"/>
            </w:pPr>
            <w:r w:rsidRPr="00DE7376">
              <w:t>12</w:t>
            </w:r>
          </w:p>
        </w:tc>
        <w:tc>
          <w:tcPr>
            <w:tcW w:w="704" w:type="dxa"/>
            <w:vAlign w:val="center"/>
          </w:tcPr>
          <w:p w:rsidR="00814131" w:rsidRPr="00DE7376" w:rsidRDefault="00814131" w:rsidP="009B134A">
            <w:pPr>
              <w:jc w:val="right"/>
            </w:pPr>
            <w:r w:rsidRPr="00DE7376">
              <w:t>7</w:t>
            </w:r>
          </w:p>
        </w:tc>
        <w:tc>
          <w:tcPr>
            <w:tcW w:w="704" w:type="dxa"/>
            <w:vAlign w:val="center"/>
          </w:tcPr>
          <w:p w:rsidR="00814131" w:rsidRPr="00DE7376" w:rsidRDefault="00814131" w:rsidP="009B134A">
            <w:pPr>
              <w:jc w:val="right"/>
            </w:pPr>
            <w:r w:rsidRPr="00DE7376">
              <w:t>8</w:t>
            </w:r>
          </w:p>
        </w:tc>
        <w:tc>
          <w:tcPr>
            <w:tcW w:w="704" w:type="dxa"/>
            <w:vAlign w:val="center"/>
          </w:tcPr>
          <w:p w:rsidR="00814131" w:rsidRPr="00DE7376" w:rsidRDefault="00814131" w:rsidP="009B134A">
            <w:pPr>
              <w:jc w:val="right"/>
            </w:pPr>
            <w:r w:rsidRPr="00DE7376">
              <w:t>6</w:t>
            </w:r>
          </w:p>
        </w:tc>
        <w:tc>
          <w:tcPr>
            <w:tcW w:w="704" w:type="dxa"/>
            <w:vAlign w:val="center"/>
          </w:tcPr>
          <w:p w:rsidR="00814131" w:rsidRPr="00DE7376" w:rsidRDefault="00814131" w:rsidP="009B134A">
            <w:pPr>
              <w:jc w:val="right"/>
            </w:pPr>
            <w:r w:rsidRPr="00DE7376">
              <w:t>4</w:t>
            </w:r>
          </w:p>
        </w:tc>
        <w:tc>
          <w:tcPr>
            <w:tcW w:w="704" w:type="dxa"/>
            <w:vAlign w:val="center"/>
          </w:tcPr>
          <w:p w:rsidR="00814131" w:rsidRPr="00DE7376" w:rsidRDefault="00814131" w:rsidP="009B134A">
            <w:pPr>
              <w:jc w:val="right"/>
            </w:pPr>
            <w:r w:rsidRPr="00DE7376">
              <w:t>5</w:t>
            </w:r>
          </w:p>
        </w:tc>
        <w:tc>
          <w:tcPr>
            <w:tcW w:w="704" w:type="dxa"/>
            <w:vAlign w:val="center"/>
          </w:tcPr>
          <w:p w:rsidR="00814131" w:rsidRPr="00DE7376" w:rsidRDefault="00814131" w:rsidP="009B134A">
            <w:pPr>
              <w:jc w:val="right"/>
            </w:pPr>
            <w:r w:rsidRPr="00DE7376">
              <w:t>4</w:t>
            </w:r>
          </w:p>
        </w:tc>
        <w:tc>
          <w:tcPr>
            <w:tcW w:w="704" w:type="dxa"/>
            <w:vAlign w:val="center"/>
          </w:tcPr>
          <w:p w:rsidR="00814131" w:rsidRPr="00DE7376" w:rsidRDefault="00814131" w:rsidP="009B134A">
            <w:pPr>
              <w:jc w:val="right"/>
            </w:pPr>
            <w:r w:rsidRPr="00DE7376">
              <w:t>3</w:t>
            </w:r>
          </w:p>
        </w:tc>
        <w:tc>
          <w:tcPr>
            <w:tcW w:w="704" w:type="dxa"/>
            <w:vAlign w:val="center"/>
          </w:tcPr>
          <w:p w:rsidR="00814131" w:rsidRPr="00DE7376" w:rsidRDefault="00814131" w:rsidP="009B134A">
            <w:pPr>
              <w:jc w:val="right"/>
            </w:pPr>
            <w:r w:rsidRPr="00DE7376">
              <w:t>3</w:t>
            </w:r>
          </w:p>
        </w:tc>
      </w:tr>
    </w:tbl>
    <w:p w:rsidR="00814131" w:rsidRDefault="00814131" w:rsidP="00814131">
      <w:pPr>
        <w:spacing w:line="360" w:lineRule="auto"/>
        <w:jc w:val="both"/>
      </w:pPr>
    </w:p>
    <w:p w:rsidR="00814131" w:rsidRDefault="00814131" w:rsidP="00814131">
      <w:pPr>
        <w:tabs>
          <w:tab w:val="left" w:pos="2850"/>
        </w:tabs>
        <w:jc w:val="both"/>
        <w:rPr>
          <w:b/>
          <w:sz w:val="28"/>
          <w:szCs w:val="28"/>
        </w:rPr>
      </w:pPr>
      <w:r w:rsidRPr="00383155">
        <w:rPr>
          <w:b/>
          <w:sz w:val="28"/>
          <w:szCs w:val="28"/>
        </w:rPr>
        <w:t>3.</w:t>
      </w:r>
      <w:r>
        <w:rPr>
          <w:b/>
          <w:sz w:val="28"/>
          <w:szCs w:val="28"/>
        </w:rPr>
        <w:t>2 XRD Pattern</w:t>
      </w:r>
      <w:r w:rsidRPr="00383155">
        <w:rPr>
          <w:b/>
          <w:sz w:val="28"/>
          <w:szCs w:val="28"/>
        </w:rPr>
        <w:t xml:space="preserve">  of  Tb</w:t>
      </w:r>
      <w:r w:rsidRPr="00383155">
        <w:rPr>
          <w:b/>
          <w:sz w:val="28"/>
          <w:szCs w:val="28"/>
          <w:vertAlign w:val="superscript"/>
        </w:rPr>
        <w:t>3+</w:t>
      </w:r>
      <w:r w:rsidRPr="00383155">
        <w:rPr>
          <w:b/>
          <w:sz w:val="28"/>
          <w:szCs w:val="28"/>
        </w:rPr>
        <w:t xml:space="preserve"> doped Al</w:t>
      </w:r>
      <w:r w:rsidRPr="00383155">
        <w:rPr>
          <w:b/>
          <w:sz w:val="28"/>
          <w:szCs w:val="28"/>
          <w:vertAlign w:val="subscript"/>
        </w:rPr>
        <w:t>2</w:t>
      </w:r>
      <w:r w:rsidRPr="00383155">
        <w:rPr>
          <w:b/>
          <w:sz w:val="28"/>
          <w:szCs w:val="28"/>
        </w:rPr>
        <w:t>Sr</w:t>
      </w:r>
      <w:r w:rsidRPr="00383155">
        <w:rPr>
          <w:b/>
          <w:sz w:val="28"/>
          <w:szCs w:val="28"/>
          <w:vertAlign w:val="subscript"/>
        </w:rPr>
        <w:t>2</w:t>
      </w:r>
      <w:r w:rsidRPr="00383155">
        <w:rPr>
          <w:b/>
          <w:sz w:val="28"/>
          <w:szCs w:val="28"/>
        </w:rPr>
        <w:t>La</w:t>
      </w:r>
      <w:r w:rsidRPr="00383155">
        <w:rPr>
          <w:b/>
          <w:sz w:val="28"/>
          <w:szCs w:val="28"/>
          <w:vertAlign w:val="subscript"/>
        </w:rPr>
        <w:t>2</w:t>
      </w:r>
      <w:r w:rsidRPr="00383155">
        <w:rPr>
          <w:b/>
          <w:sz w:val="28"/>
          <w:szCs w:val="28"/>
        </w:rPr>
        <w:t>O</w:t>
      </w:r>
      <w:r w:rsidRPr="00383155">
        <w:rPr>
          <w:b/>
          <w:sz w:val="28"/>
          <w:szCs w:val="28"/>
          <w:vertAlign w:val="subscript"/>
        </w:rPr>
        <w:t>8</w:t>
      </w:r>
      <w:r w:rsidRPr="00383155">
        <w:rPr>
          <w:b/>
          <w:sz w:val="28"/>
          <w:szCs w:val="28"/>
        </w:rPr>
        <w:t xml:space="preserve"> :Eu</w:t>
      </w:r>
      <w:r w:rsidRPr="00383155">
        <w:rPr>
          <w:b/>
          <w:sz w:val="28"/>
          <w:szCs w:val="28"/>
          <w:vertAlign w:val="superscript"/>
        </w:rPr>
        <w:t>3+</w:t>
      </w:r>
      <w:r w:rsidRPr="00383155">
        <w:rPr>
          <w:b/>
          <w:sz w:val="28"/>
          <w:szCs w:val="28"/>
        </w:rPr>
        <w:t xml:space="preserve"> phosphor:</w:t>
      </w:r>
    </w:p>
    <w:p w:rsidR="00814131" w:rsidRDefault="00814131" w:rsidP="00814131">
      <w:pPr>
        <w:spacing w:after="120" w:line="360" w:lineRule="auto"/>
        <w:jc w:val="both"/>
      </w:pPr>
      <w:r>
        <w:t xml:space="preserve">     </w:t>
      </w:r>
      <w:r w:rsidRPr="00137F3C">
        <w:t>Fig.</w:t>
      </w:r>
      <w:r>
        <w:t>4 is</w:t>
      </w:r>
      <w:r w:rsidRPr="00137F3C">
        <w:t xml:space="preserve"> the X-Ray diffraction (XRD) </w:t>
      </w:r>
      <w:r>
        <w:t xml:space="preserve">patterns </w:t>
      </w:r>
      <w:r w:rsidRPr="00137F3C">
        <w:t>of the phosphors</w:t>
      </w:r>
      <w:r>
        <w:t>,</w:t>
      </w:r>
      <w:r w:rsidRPr="00137F3C">
        <w:t xml:space="preserve"> it is found </w:t>
      </w:r>
      <w:r>
        <w:t xml:space="preserve">that </w:t>
      </w:r>
      <w:r w:rsidRPr="00137F3C">
        <w:t xml:space="preserve">most of the phosphors are in single phase. The crystallite size is calculated using Scherer’s formula for all the samples using </w:t>
      </w:r>
      <w:r>
        <w:t xml:space="preserve">the formula, </w:t>
      </w:r>
      <w:r w:rsidRPr="00137F3C">
        <w:t>D= Kλ/βcosθ.</w:t>
      </w:r>
    </w:p>
    <w:p w:rsidR="00814131" w:rsidRDefault="00814131" w:rsidP="00814131">
      <w:pPr>
        <w:jc w:val="center"/>
        <w:rPr>
          <w:b/>
        </w:rPr>
      </w:pPr>
      <w:r>
        <w:rPr>
          <w:noProof/>
          <w:lang w:val="en-IN" w:eastAsia="en-IN"/>
        </w:rPr>
        <w:lastRenderedPageBreak/>
        <w:drawing>
          <wp:inline distT="0" distB="0" distL="0" distR="0">
            <wp:extent cx="6003985" cy="4770408"/>
            <wp:effectExtent l="0" t="0" r="0" b="0"/>
            <wp:docPr id="11" name="Object 2"/>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662315" cy="3288744"/>
                      <a:chOff x="1519535" y="1957388"/>
                      <a:chExt cx="5662315" cy="3288744"/>
                    </a:xfrm>
                  </a:grpSpPr>
                  <a:pic>
                    <a:nvPicPr>
                      <a:cNvPr id="1026" name="Picture 2"/>
                      <a:cNvPicPr>
                        <a:picLocks noChangeAspect="1" noChangeArrowheads="1"/>
                      </a:cNvPicPr>
                    </a:nvPicPr>
                    <a:blipFill>
                      <a:blip r:embed="rId13"/>
                      <a:srcRect/>
                      <a:stretch>
                        <a:fillRect/>
                      </a:stretch>
                    </a:blipFill>
                    <a:spPr bwMode="auto">
                      <a:xfrm>
                        <a:off x="1962150" y="1957388"/>
                        <a:ext cx="5219700" cy="2943225"/>
                      </a:xfrm>
                      <a:prstGeom prst="rect">
                        <a:avLst/>
                      </a:prstGeom>
                      <a:noFill/>
                      <a:ln w="9525">
                        <a:noFill/>
                        <a:miter lim="800000"/>
                        <a:headEnd/>
                        <a:tailEnd/>
                      </a:ln>
                      <a:effectLst/>
                    </a:spPr>
                  </a:pic>
                  <a:sp>
                    <a:nvSpPr>
                      <a:cNvPr id="5" name="TextBox 4"/>
                      <a:cNvSpPr txBox="1"/>
                    </a:nvSpPr>
                    <a:spPr>
                      <a:xfrm>
                        <a:off x="1519535" y="2362200"/>
                        <a:ext cx="461665" cy="1905000"/>
                      </a:xfrm>
                      <a:prstGeom prst="rect">
                        <a:avLst/>
                      </a:prstGeom>
                      <a:noFill/>
                    </a:spPr>
                    <a:txSp>
                      <a:txBody>
                        <a:bodyPr vert="vert270" wrap="square" rtlCol="0" anchor="b" anchorCtr="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Intensity(counts)</a:t>
                          </a:r>
                          <a:endParaRPr lang="en-US" dirty="0"/>
                        </a:p>
                      </a:txBody>
                      <a:useSpRect/>
                    </a:txSp>
                  </a:sp>
                  <a:sp>
                    <a:nvSpPr>
                      <a:cNvPr id="6" name="TextBox 5"/>
                      <a:cNvSpPr txBox="1"/>
                    </a:nvSpPr>
                    <a:spPr>
                      <a:xfrm>
                        <a:off x="4343400" y="4876800"/>
                        <a:ext cx="4572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2</a:t>
                          </a:r>
                          <a:r>
                            <a:rPr lang="el-GR" dirty="0" smtClean="0"/>
                            <a:t>θ</a:t>
                          </a:r>
                          <a:endParaRPr lang="en-US" dirty="0"/>
                        </a:p>
                      </a:txBody>
                      <a:useSpRect/>
                    </a:txSp>
                  </a:sp>
                  <a:pic>
                    <a:nvPicPr>
                      <a:cNvPr id="1027" name="Picture 3"/>
                      <a:cNvPicPr>
                        <a:picLocks noChangeAspect="1" noChangeArrowheads="1"/>
                      </a:cNvPicPr>
                    </a:nvPicPr>
                    <a:blipFill>
                      <a:blip r:embed="rId14"/>
                      <a:srcRect/>
                      <a:stretch>
                        <a:fillRect/>
                      </a:stretch>
                    </a:blipFill>
                    <a:spPr bwMode="auto">
                      <a:xfrm>
                        <a:off x="1981200" y="2009775"/>
                        <a:ext cx="5181600" cy="2838450"/>
                      </a:xfrm>
                      <a:prstGeom prst="rect">
                        <a:avLst/>
                      </a:prstGeom>
                      <a:noFill/>
                      <a:ln w="9525">
                        <a:noFill/>
                        <a:miter lim="800000"/>
                        <a:headEnd/>
                        <a:tailEnd/>
                      </a:ln>
                      <a:effectLst/>
                    </a:spPr>
                  </a:pic>
                </lc:lockedCanvas>
              </a:graphicData>
            </a:graphic>
          </wp:inline>
        </w:drawing>
      </w:r>
      <w:r>
        <w:rPr>
          <w:b/>
        </w:rPr>
        <w:t xml:space="preserve">                        </w:t>
      </w:r>
      <w:r w:rsidRPr="001F0A5E">
        <w:rPr>
          <w:b/>
        </w:rPr>
        <w:t xml:space="preserve"> </w:t>
      </w:r>
      <w:r w:rsidRPr="00F35401">
        <w:rPr>
          <w:b/>
        </w:rPr>
        <w:t>Fig.</w:t>
      </w:r>
      <w:r>
        <w:rPr>
          <w:b/>
        </w:rPr>
        <w:t>4</w:t>
      </w:r>
      <w:r w:rsidRPr="00F35401">
        <w:rPr>
          <w:b/>
        </w:rPr>
        <w:t xml:space="preserve"> XRD pattern of 0.5% Eu doped Al</w:t>
      </w:r>
      <w:r w:rsidRPr="00F35401">
        <w:rPr>
          <w:b/>
          <w:vertAlign w:val="subscript"/>
        </w:rPr>
        <w:t>2</w:t>
      </w:r>
      <w:r w:rsidRPr="00F35401">
        <w:rPr>
          <w:b/>
        </w:rPr>
        <w:t>Sr</w:t>
      </w:r>
      <w:r w:rsidRPr="00F35401">
        <w:rPr>
          <w:b/>
          <w:vertAlign w:val="subscript"/>
        </w:rPr>
        <w:t>2</w:t>
      </w:r>
      <w:r w:rsidRPr="00F35401">
        <w:rPr>
          <w:b/>
        </w:rPr>
        <w:t>La</w:t>
      </w:r>
      <w:r w:rsidRPr="00F35401">
        <w:rPr>
          <w:b/>
          <w:vertAlign w:val="subscript"/>
        </w:rPr>
        <w:t>2</w:t>
      </w:r>
      <w:r w:rsidRPr="00F35401">
        <w:rPr>
          <w:b/>
        </w:rPr>
        <w:t>O</w:t>
      </w:r>
      <w:r w:rsidRPr="00F35401">
        <w:rPr>
          <w:b/>
          <w:vertAlign w:val="subscript"/>
        </w:rPr>
        <w:t>8</w:t>
      </w:r>
      <w:r w:rsidRPr="00F35401">
        <w:rPr>
          <w:b/>
        </w:rPr>
        <w:t>: Tb(0.</w:t>
      </w:r>
      <w:r>
        <w:rPr>
          <w:b/>
        </w:rPr>
        <w:t>1</w:t>
      </w:r>
      <w:r w:rsidRPr="00F35401">
        <w:rPr>
          <w:b/>
        </w:rPr>
        <w:t>%) phosphor</w:t>
      </w:r>
    </w:p>
    <w:p w:rsidR="00814131" w:rsidRDefault="00814131" w:rsidP="00814131">
      <w:pPr>
        <w:jc w:val="center"/>
      </w:pPr>
    </w:p>
    <w:p w:rsidR="00814131" w:rsidRDefault="00814131" w:rsidP="00814131">
      <w:pPr>
        <w:tabs>
          <w:tab w:val="left" w:pos="7223"/>
        </w:tabs>
        <w:spacing w:after="120" w:line="360" w:lineRule="auto"/>
        <w:jc w:val="both"/>
        <w:rPr>
          <w:rFonts w:eastAsia="Calibri"/>
        </w:rPr>
      </w:pPr>
      <w:r>
        <w:rPr>
          <w:rFonts w:eastAsia="Calibri"/>
        </w:rPr>
        <w:t xml:space="preserve">     For </w:t>
      </w:r>
      <w:r w:rsidRPr="00167CEA">
        <w:rPr>
          <w:rFonts w:eastAsia="Calibri"/>
        </w:rPr>
        <w:t>Eu</w:t>
      </w:r>
      <w:r>
        <w:rPr>
          <w:rFonts w:eastAsia="Calibri"/>
        </w:rPr>
        <w:t xml:space="preserve"> </w:t>
      </w:r>
      <w:r w:rsidRPr="00167CEA">
        <w:rPr>
          <w:rFonts w:eastAsia="Calibri"/>
        </w:rPr>
        <w:t>(0.5%), Tb(0.2%)</w:t>
      </w:r>
      <w:r>
        <w:rPr>
          <w:rFonts w:eastAsia="Calibri"/>
        </w:rPr>
        <w:t xml:space="preserve"> </w:t>
      </w:r>
      <w:r w:rsidRPr="00137F3C">
        <w:rPr>
          <w:rFonts w:eastAsia="Calibri"/>
        </w:rPr>
        <w:t>ASL phosphor</w:t>
      </w:r>
      <w:r>
        <w:rPr>
          <w:rFonts w:eastAsia="Calibri"/>
        </w:rPr>
        <w:t>,</w:t>
      </w:r>
      <w:r w:rsidRPr="00137F3C">
        <w:rPr>
          <w:rFonts w:eastAsia="Calibri"/>
        </w:rPr>
        <w:t xml:space="preserve"> the crystallite size is 55.10nm</w:t>
      </w:r>
      <w:r>
        <w:rPr>
          <w:rFonts w:eastAsia="Calibri"/>
        </w:rPr>
        <w:t xml:space="preserve">. Addition of Tb 0.2% did not affect the </w:t>
      </w:r>
      <w:r w:rsidRPr="00137F3C">
        <w:rPr>
          <w:rFonts w:eastAsia="Calibri"/>
        </w:rPr>
        <w:t>crystallite size</w:t>
      </w:r>
      <w:r>
        <w:rPr>
          <w:rFonts w:eastAsia="Calibri"/>
        </w:rPr>
        <w:t xml:space="preserve"> of ASL:Eu. However with the addition of 0.5% Tb to </w:t>
      </w:r>
      <w:r w:rsidRPr="00167CEA">
        <w:rPr>
          <w:rFonts w:eastAsia="Calibri"/>
        </w:rPr>
        <w:t>Al</w:t>
      </w:r>
      <w:r w:rsidRPr="00167CEA">
        <w:rPr>
          <w:rFonts w:eastAsia="Calibri"/>
          <w:vertAlign w:val="subscript"/>
        </w:rPr>
        <w:t>2</w:t>
      </w:r>
      <w:r w:rsidRPr="00167CEA">
        <w:rPr>
          <w:rFonts w:eastAsia="Calibri"/>
        </w:rPr>
        <w:t>Sr</w:t>
      </w:r>
      <w:r w:rsidRPr="00167CEA">
        <w:rPr>
          <w:rFonts w:eastAsia="Calibri"/>
          <w:vertAlign w:val="subscript"/>
        </w:rPr>
        <w:t>2</w:t>
      </w:r>
      <w:r w:rsidRPr="00167CEA">
        <w:rPr>
          <w:rFonts w:eastAsia="Calibri"/>
        </w:rPr>
        <w:t>La</w:t>
      </w:r>
      <w:r w:rsidRPr="00167CEA">
        <w:rPr>
          <w:rFonts w:eastAsia="Calibri"/>
          <w:vertAlign w:val="subscript"/>
        </w:rPr>
        <w:t>2</w:t>
      </w:r>
      <w:r w:rsidRPr="00167CEA">
        <w:rPr>
          <w:rFonts w:eastAsia="Calibri"/>
        </w:rPr>
        <w:t>O</w:t>
      </w:r>
      <w:r w:rsidRPr="00167CEA">
        <w:rPr>
          <w:rFonts w:eastAsia="Calibri"/>
          <w:vertAlign w:val="subscript"/>
        </w:rPr>
        <w:t>8</w:t>
      </w:r>
      <w:r>
        <w:rPr>
          <w:rFonts w:eastAsia="Calibri"/>
          <w:vertAlign w:val="subscript"/>
        </w:rPr>
        <w:t xml:space="preserve"> </w:t>
      </w:r>
      <w:r w:rsidRPr="00370482">
        <w:rPr>
          <w:rFonts w:eastAsia="Calibri"/>
        </w:rPr>
        <w:t>Eu(0.1%)</w:t>
      </w:r>
      <w:r>
        <w:rPr>
          <w:rFonts w:eastAsia="Calibri"/>
        </w:rPr>
        <w:t xml:space="preserve">, the crystallite size reduced to </w:t>
      </w:r>
      <w:r w:rsidRPr="00370482">
        <w:rPr>
          <w:rFonts w:eastAsia="Calibri"/>
        </w:rPr>
        <w:t>51.6 nm</w:t>
      </w:r>
      <w:r>
        <w:rPr>
          <w:rFonts w:eastAsia="Calibri"/>
        </w:rPr>
        <w:t xml:space="preserve">. </w:t>
      </w:r>
    </w:p>
    <w:p w:rsidR="00814131" w:rsidRDefault="00814131" w:rsidP="00814131">
      <w:pPr>
        <w:spacing w:after="120" w:line="360" w:lineRule="auto"/>
        <w:jc w:val="both"/>
        <w:rPr>
          <w:rFonts w:eastAsia="Calibri"/>
        </w:rPr>
      </w:pPr>
      <w:r>
        <w:rPr>
          <w:rFonts w:eastAsia="Calibri"/>
        </w:rPr>
        <w:t xml:space="preserve">     As it is observed, the same host containing the same concentration (1.5%) of  RE</w:t>
      </w:r>
      <w:r w:rsidRPr="00E34F73">
        <w:rPr>
          <w:rFonts w:eastAsia="Calibri"/>
          <w:vertAlign w:val="superscript"/>
        </w:rPr>
        <w:t>3+</w:t>
      </w:r>
      <w:r>
        <w:rPr>
          <w:rFonts w:eastAsia="Calibri"/>
        </w:rPr>
        <w:t xml:space="preserve"> dopant forms different crystallite sizes. The variation may be due to the RE</w:t>
      </w:r>
      <w:r w:rsidRPr="00E34F73">
        <w:rPr>
          <w:rFonts w:eastAsia="Calibri"/>
          <w:vertAlign w:val="superscript"/>
        </w:rPr>
        <w:t>3+</w:t>
      </w:r>
      <w:r>
        <w:rPr>
          <w:rFonts w:eastAsia="Calibri"/>
        </w:rPr>
        <w:t xml:space="preserve"> ions diameter. Higher the diameter of the ions, lesser is the crystallite size. In the present case ‘Tb’ doped phosphor has 5% less crystallite size, when compared to Eu doped phosphor.</w:t>
      </w:r>
    </w:p>
    <w:p w:rsidR="00814131" w:rsidRPr="00BB6DDB" w:rsidRDefault="00814131" w:rsidP="00814131">
      <w:pPr>
        <w:jc w:val="center"/>
      </w:pPr>
    </w:p>
    <w:p w:rsidR="00814131" w:rsidRDefault="00814131" w:rsidP="00814131">
      <w:pPr>
        <w:rPr>
          <w:b/>
          <w:sz w:val="28"/>
          <w:szCs w:val="28"/>
        </w:rPr>
      </w:pPr>
      <w:r w:rsidRPr="008E065D">
        <w:rPr>
          <w:b/>
          <w:sz w:val="28"/>
          <w:szCs w:val="28"/>
        </w:rPr>
        <w:t xml:space="preserve">3.3  SEM </w:t>
      </w:r>
      <w:r>
        <w:rPr>
          <w:b/>
          <w:sz w:val="28"/>
          <w:szCs w:val="28"/>
        </w:rPr>
        <w:t>diagram</w:t>
      </w:r>
      <w:r w:rsidRPr="008E065D">
        <w:rPr>
          <w:b/>
          <w:sz w:val="28"/>
          <w:szCs w:val="28"/>
        </w:rPr>
        <w:t xml:space="preserve"> of Al</w:t>
      </w:r>
      <w:r w:rsidRPr="008E065D">
        <w:rPr>
          <w:b/>
          <w:sz w:val="28"/>
          <w:szCs w:val="28"/>
          <w:vertAlign w:val="subscript"/>
        </w:rPr>
        <w:t>2</w:t>
      </w:r>
      <w:r w:rsidRPr="008E065D">
        <w:rPr>
          <w:b/>
          <w:sz w:val="28"/>
          <w:szCs w:val="28"/>
        </w:rPr>
        <w:t>Sr</w:t>
      </w:r>
      <w:r w:rsidRPr="008E065D">
        <w:rPr>
          <w:b/>
          <w:sz w:val="28"/>
          <w:szCs w:val="28"/>
          <w:vertAlign w:val="subscript"/>
        </w:rPr>
        <w:t>2</w:t>
      </w:r>
      <w:r w:rsidRPr="008E065D">
        <w:rPr>
          <w:b/>
          <w:sz w:val="28"/>
          <w:szCs w:val="28"/>
        </w:rPr>
        <w:t>La</w:t>
      </w:r>
      <w:r w:rsidRPr="008E065D">
        <w:rPr>
          <w:b/>
          <w:sz w:val="28"/>
          <w:szCs w:val="28"/>
          <w:vertAlign w:val="subscript"/>
        </w:rPr>
        <w:t>2</w:t>
      </w:r>
      <w:r w:rsidRPr="008E065D">
        <w:rPr>
          <w:b/>
          <w:sz w:val="28"/>
          <w:szCs w:val="28"/>
        </w:rPr>
        <w:t>O</w:t>
      </w:r>
      <w:r w:rsidRPr="008E065D">
        <w:rPr>
          <w:b/>
          <w:sz w:val="28"/>
          <w:szCs w:val="28"/>
          <w:vertAlign w:val="subscript"/>
        </w:rPr>
        <w:t>8</w:t>
      </w:r>
      <w:r w:rsidRPr="008E065D">
        <w:rPr>
          <w:b/>
          <w:sz w:val="28"/>
          <w:szCs w:val="28"/>
        </w:rPr>
        <w:t xml:space="preserve">: Eu(0.5%), Tb(0.1%) Phosphor:    </w:t>
      </w:r>
    </w:p>
    <w:p w:rsidR="00814131" w:rsidRDefault="00814131" w:rsidP="00814131">
      <w:pPr>
        <w:jc w:val="both"/>
      </w:pPr>
      <w:r>
        <w:t xml:space="preserve">     </w:t>
      </w:r>
      <w:r w:rsidRPr="00BB6DDB">
        <w:t xml:space="preserve">Figure </w:t>
      </w:r>
      <w:r>
        <w:t xml:space="preserve">5 </w:t>
      </w:r>
      <w:r w:rsidRPr="00BB6DDB">
        <w:t>is the SEM micrographs of ASL: Eu (</w:t>
      </w:r>
      <w:r>
        <w:t>0.5</w:t>
      </w:r>
      <w:r w:rsidRPr="00BB6DDB">
        <w:t>%)</w:t>
      </w:r>
      <w:r>
        <w:t xml:space="preserve"> (Tb 0.1%)</w:t>
      </w:r>
      <w:r w:rsidRPr="00BB6DDB">
        <w:t xml:space="preserve">, </w:t>
      </w:r>
      <w:r>
        <w:t xml:space="preserve"> </w:t>
      </w:r>
      <w:r w:rsidRPr="00BB6DDB">
        <w:t xml:space="preserve">phosphor of 550, 1000 and 2700 magnification. The 2700 magnification is of </w:t>
      </w:r>
      <w:r>
        <w:t xml:space="preserve">20 </w:t>
      </w:r>
      <w:r w:rsidRPr="00BB6DDB">
        <w:t>microns scale</w:t>
      </w:r>
      <w:r>
        <w:t>,</w:t>
      </w:r>
      <w:r w:rsidRPr="00BB6DDB">
        <w:t xml:space="preserve"> wherein the particles </w:t>
      </w:r>
      <w:r>
        <w:t xml:space="preserve">are </w:t>
      </w:r>
      <w:r w:rsidRPr="00BB6DDB">
        <w:t xml:space="preserve">nearly spherical in shape having size </w:t>
      </w:r>
      <w:r>
        <w:t>4</w:t>
      </w:r>
      <w:r w:rsidRPr="00BB6DDB">
        <w:t xml:space="preserve"> – </w:t>
      </w:r>
      <w:r>
        <w:t>6</w:t>
      </w:r>
      <w:r w:rsidRPr="00BB6DDB">
        <w:t xml:space="preserve"> microns. This phosphor exhibited </w:t>
      </w:r>
      <w:r>
        <w:t>relatively good</w:t>
      </w:r>
      <w:r w:rsidRPr="00BB6DDB">
        <w:t xml:space="preserve"> PL intensity </w:t>
      </w:r>
      <w:r>
        <w:t>among the ASL:Eu, Tb phosphors presented in figure 1.</w:t>
      </w:r>
    </w:p>
    <w:p w:rsidR="00814131" w:rsidRDefault="00814131" w:rsidP="00814131">
      <w:r>
        <w:rPr>
          <w:noProof/>
          <w:lang w:val="en-IN" w:eastAsia="en-IN"/>
        </w:rPr>
        <w:lastRenderedPageBreak/>
        <w:drawing>
          <wp:inline distT="0" distB="0" distL="0" distR="0">
            <wp:extent cx="1913267" cy="1792747"/>
            <wp:effectExtent l="19050" t="0" r="0" b="0"/>
            <wp:docPr id="14" name="Picture 7" descr="C:\Users\ADMINI~1\AppData\Local\Temp\Rar$DIa0.863\sample 12  a - Copy.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1\AppData\Local\Temp\Rar$DIa0.863\sample 12  a - Copy.bmp"/>
                    <pic:cNvPicPr>
                      <a:picLocks noChangeAspect="1" noChangeArrowheads="1"/>
                    </pic:cNvPicPr>
                  </pic:nvPicPr>
                  <pic:blipFill>
                    <a:blip r:embed="rId15"/>
                    <a:srcRect/>
                    <a:stretch>
                      <a:fillRect/>
                    </a:stretch>
                  </pic:blipFill>
                  <pic:spPr bwMode="auto">
                    <a:xfrm>
                      <a:off x="0" y="0"/>
                      <a:ext cx="1915149" cy="1794510"/>
                    </a:xfrm>
                    <a:prstGeom prst="rect">
                      <a:avLst/>
                    </a:prstGeom>
                    <a:noFill/>
                    <a:ln w="9525">
                      <a:noFill/>
                      <a:miter lim="800000"/>
                      <a:headEnd/>
                      <a:tailEnd/>
                    </a:ln>
                  </pic:spPr>
                </pic:pic>
              </a:graphicData>
            </a:graphic>
          </wp:inline>
        </w:drawing>
      </w:r>
      <w:r>
        <w:rPr>
          <w:noProof/>
          <w:lang w:val="en-IN" w:eastAsia="en-IN"/>
        </w:rPr>
        <w:drawing>
          <wp:inline distT="0" distB="0" distL="0" distR="0">
            <wp:extent cx="1906438" cy="1785668"/>
            <wp:effectExtent l="19050" t="0" r="0" b="0"/>
            <wp:docPr id="15" name="Picture 8" descr="C:\Users\ADMINI~1\AppData\Local\Temp\Rar$DIa0.048\sample 12 - Copy.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1\AppData\Local\Temp\Rar$DIa0.048\sample 12 - Copy.bmp"/>
                    <pic:cNvPicPr>
                      <a:picLocks noChangeAspect="1" noChangeArrowheads="1"/>
                    </pic:cNvPicPr>
                  </pic:nvPicPr>
                  <pic:blipFill>
                    <a:blip r:embed="rId16"/>
                    <a:srcRect/>
                    <a:stretch>
                      <a:fillRect/>
                    </a:stretch>
                  </pic:blipFill>
                  <pic:spPr bwMode="auto">
                    <a:xfrm>
                      <a:off x="0" y="0"/>
                      <a:ext cx="1906387" cy="1785620"/>
                    </a:xfrm>
                    <a:prstGeom prst="rect">
                      <a:avLst/>
                    </a:prstGeom>
                    <a:noFill/>
                    <a:ln w="9525">
                      <a:noFill/>
                      <a:miter lim="800000"/>
                      <a:headEnd/>
                      <a:tailEnd/>
                    </a:ln>
                  </pic:spPr>
                </pic:pic>
              </a:graphicData>
            </a:graphic>
          </wp:inline>
        </w:drawing>
      </w:r>
      <w:r>
        <w:rPr>
          <w:noProof/>
          <w:lang w:val="en-IN" w:eastAsia="en-IN"/>
        </w:rPr>
        <w:drawing>
          <wp:inline distT="0" distB="0" distL="0" distR="0">
            <wp:extent cx="1809750" cy="1783329"/>
            <wp:effectExtent l="19050" t="0" r="0" b="0"/>
            <wp:docPr id="16" name="Picture 9" descr="C:\Users\ADMINI~1\AppData\Local\Temp\Rar$DIa0.217\sample 12 b - Copy.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1\AppData\Local\Temp\Rar$DIa0.217\sample 12 b - Copy.bmp"/>
                    <pic:cNvPicPr>
                      <a:picLocks noChangeAspect="1" noChangeArrowheads="1"/>
                    </pic:cNvPicPr>
                  </pic:nvPicPr>
                  <pic:blipFill>
                    <a:blip r:embed="rId17"/>
                    <a:srcRect/>
                    <a:stretch>
                      <a:fillRect/>
                    </a:stretch>
                  </pic:blipFill>
                  <pic:spPr bwMode="auto">
                    <a:xfrm>
                      <a:off x="0" y="0"/>
                      <a:ext cx="1809750" cy="1783329"/>
                    </a:xfrm>
                    <a:prstGeom prst="rect">
                      <a:avLst/>
                    </a:prstGeom>
                    <a:noFill/>
                    <a:ln w="9525">
                      <a:noFill/>
                      <a:miter lim="800000"/>
                      <a:headEnd/>
                      <a:tailEnd/>
                    </a:ln>
                  </pic:spPr>
                </pic:pic>
              </a:graphicData>
            </a:graphic>
          </wp:inline>
        </w:drawing>
      </w:r>
    </w:p>
    <w:p w:rsidR="00814131" w:rsidRDefault="00814131" w:rsidP="00814131">
      <w:pPr>
        <w:jc w:val="center"/>
        <w:rPr>
          <w:b/>
        </w:rPr>
      </w:pPr>
      <w:r>
        <w:rPr>
          <w:b/>
        </w:rPr>
        <w:t>Fig.5 SEM images</w:t>
      </w:r>
      <w:r w:rsidRPr="00F35401">
        <w:rPr>
          <w:b/>
        </w:rPr>
        <w:t xml:space="preserve"> of</w:t>
      </w:r>
      <w:r>
        <w:rPr>
          <w:b/>
        </w:rPr>
        <w:t xml:space="preserve"> </w:t>
      </w:r>
      <w:r w:rsidRPr="00EA6D28">
        <w:rPr>
          <w:b/>
        </w:rPr>
        <w:t xml:space="preserve"> </w:t>
      </w:r>
      <w:r>
        <w:rPr>
          <w:b/>
        </w:rPr>
        <w:t>0.1</w:t>
      </w:r>
      <w:r w:rsidRPr="00EA6D28">
        <w:rPr>
          <w:b/>
        </w:rPr>
        <w:t>%</w:t>
      </w:r>
      <w:r>
        <w:rPr>
          <w:b/>
        </w:rPr>
        <w:t xml:space="preserve"> Tb doped </w:t>
      </w:r>
      <w:r w:rsidRPr="00EA6D28">
        <w:rPr>
          <w:b/>
        </w:rPr>
        <w:t>Al</w:t>
      </w:r>
      <w:r w:rsidRPr="00EA6D28">
        <w:rPr>
          <w:b/>
          <w:vertAlign w:val="subscript"/>
        </w:rPr>
        <w:t>2</w:t>
      </w:r>
      <w:r w:rsidRPr="00EA6D28">
        <w:rPr>
          <w:b/>
        </w:rPr>
        <w:t>Sr</w:t>
      </w:r>
      <w:r w:rsidRPr="00EA6D28">
        <w:rPr>
          <w:b/>
          <w:vertAlign w:val="subscript"/>
        </w:rPr>
        <w:t>2</w:t>
      </w:r>
      <w:r w:rsidRPr="00EA6D28">
        <w:rPr>
          <w:b/>
        </w:rPr>
        <w:t>La</w:t>
      </w:r>
      <w:r w:rsidRPr="00EA6D28">
        <w:rPr>
          <w:b/>
          <w:vertAlign w:val="subscript"/>
        </w:rPr>
        <w:t>2</w:t>
      </w:r>
      <w:r w:rsidRPr="00EA6D28">
        <w:rPr>
          <w:b/>
        </w:rPr>
        <w:t>O</w:t>
      </w:r>
      <w:r w:rsidRPr="00EA6D28">
        <w:rPr>
          <w:b/>
          <w:vertAlign w:val="subscript"/>
        </w:rPr>
        <w:t>8</w:t>
      </w:r>
      <w:r w:rsidRPr="00521B79">
        <w:rPr>
          <w:b/>
        </w:rPr>
        <w:t>:Eu(0.5%)</w:t>
      </w:r>
      <w:r w:rsidRPr="00F35401">
        <w:rPr>
          <w:b/>
        </w:rPr>
        <w:t xml:space="preserve"> phosphor</w:t>
      </w:r>
    </w:p>
    <w:p w:rsidR="00814131" w:rsidRDefault="00814131" w:rsidP="00814131">
      <w:pPr>
        <w:jc w:val="center"/>
        <w:rPr>
          <w:b/>
        </w:rPr>
      </w:pPr>
    </w:p>
    <w:p w:rsidR="00814131" w:rsidRDefault="00814131" w:rsidP="00814131">
      <w:pPr>
        <w:spacing w:line="360" w:lineRule="auto"/>
        <w:jc w:val="both"/>
        <w:rPr>
          <w:b/>
          <w:sz w:val="28"/>
          <w:szCs w:val="28"/>
        </w:rPr>
      </w:pPr>
      <w:r>
        <w:t xml:space="preserve">. </w:t>
      </w:r>
      <w:r w:rsidRPr="008E065D">
        <w:rPr>
          <w:b/>
          <w:sz w:val="28"/>
          <w:szCs w:val="28"/>
        </w:rPr>
        <w:t xml:space="preserve">3.3  </w:t>
      </w:r>
      <w:r>
        <w:rPr>
          <w:b/>
          <w:sz w:val="28"/>
          <w:szCs w:val="28"/>
        </w:rPr>
        <w:t>EDS  Spectrum</w:t>
      </w:r>
      <w:r w:rsidRPr="008E065D">
        <w:rPr>
          <w:b/>
          <w:sz w:val="28"/>
          <w:szCs w:val="28"/>
        </w:rPr>
        <w:t xml:space="preserve"> of Al</w:t>
      </w:r>
      <w:r w:rsidRPr="008E065D">
        <w:rPr>
          <w:b/>
          <w:sz w:val="28"/>
          <w:szCs w:val="28"/>
          <w:vertAlign w:val="subscript"/>
        </w:rPr>
        <w:t>2</w:t>
      </w:r>
      <w:r w:rsidRPr="008E065D">
        <w:rPr>
          <w:b/>
          <w:sz w:val="28"/>
          <w:szCs w:val="28"/>
        </w:rPr>
        <w:t>Sr</w:t>
      </w:r>
      <w:r w:rsidRPr="008E065D">
        <w:rPr>
          <w:b/>
          <w:sz w:val="28"/>
          <w:szCs w:val="28"/>
          <w:vertAlign w:val="subscript"/>
        </w:rPr>
        <w:t>2</w:t>
      </w:r>
      <w:r w:rsidRPr="008E065D">
        <w:rPr>
          <w:b/>
          <w:sz w:val="28"/>
          <w:szCs w:val="28"/>
        </w:rPr>
        <w:t>La</w:t>
      </w:r>
      <w:r w:rsidRPr="008E065D">
        <w:rPr>
          <w:b/>
          <w:sz w:val="28"/>
          <w:szCs w:val="28"/>
          <w:vertAlign w:val="subscript"/>
        </w:rPr>
        <w:t>2</w:t>
      </w:r>
      <w:r w:rsidRPr="008E065D">
        <w:rPr>
          <w:b/>
          <w:sz w:val="28"/>
          <w:szCs w:val="28"/>
        </w:rPr>
        <w:t>O</w:t>
      </w:r>
      <w:r w:rsidRPr="008E065D">
        <w:rPr>
          <w:b/>
          <w:sz w:val="28"/>
          <w:szCs w:val="28"/>
          <w:vertAlign w:val="subscript"/>
        </w:rPr>
        <w:t>8</w:t>
      </w:r>
      <w:r w:rsidRPr="008E065D">
        <w:rPr>
          <w:b/>
          <w:sz w:val="28"/>
          <w:szCs w:val="28"/>
        </w:rPr>
        <w:t xml:space="preserve">: Eu(0.5%), Tb(0.1%) Phosphor:    </w:t>
      </w:r>
    </w:p>
    <w:p w:rsidR="00814131" w:rsidRDefault="00814131" w:rsidP="00814131">
      <w:pPr>
        <w:spacing w:line="360" w:lineRule="auto"/>
        <w:jc w:val="both"/>
        <w:rPr>
          <w:rFonts w:eastAsia="Calibri"/>
          <w:b/>
        </w:rPr>
      </w:pPr>
      <w:r>
        <w:rPr>
          <w:rFonts w:eastAsia="Calibri"/>
          <w:noProof/>
          <w:lang w:val="en-IN" w:eastAsia="en-IN"/>
        </w:rPr>
        <w:drawing>
          <wp:anchor distT="0" distB="0" distL="114300" distR="114300" simplePos="0" relativeHeight="251662336" behindDoc="0" locked="0" layoutInCell="1" allowOverlap="1">
            <wp:simplePos x="0" y="0"/>
            <wp:positionH relativeFrom="page">
              <wp:posOffset>985208</wp:posOffset>
            </wp:positionH>
            <wp:positionV relativeFrom="page">
              <wp:posOffset>6866626</wp:posOffset>
            </wp:positionV>
            <wp:extent cx="5450098" cy="2518913"/>
            <wp:effectExtent l="19050" t="0" r="0" b="0"/>
            <wp:wrapNone/>
            <wp:docPr id="1" name="Picture 4" descr="IncaTemp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caTemp5"/>
                    <pic:cNvPicPr>
                      <a:picLocks noChangeAspect="1" noChangeArrowheads="1"/>
                    </pic:cNvPicPr>
                  </pic:nvPicPr>
                  <pic:blipFill>
                    <a:blip r:embed="rId18"/>
                    <a:srcRect/>
                    <a:stretch>
                      <a:fillRect/>
                    </a:stretch>
                  </pic:blipFill>
                  <pic:spPr bwMode="auto">
                    <a:xfrm>
                      <a:off x="0" y="0"/>
                      <a:ext cx="5450097" cy="2518913"/>
                    </a:xfrm>
                    <a:prstGeom prst="rect">
                      <a:avLst/>
                    </a:prstGeom>
                    <a:noFill/>
                    <a:ln w="9525">
                      <a:noFill/>
                      <a:miter lim="800000"/>
                      <a:headEnd/>
                      <a:tailEnd/>
                    </a:ln>
                  </pic:spPr>
                </pic:pic>
              </a:graphicData>
            </a:graphic>
          </wp:anchor>
        </w:drawing>
      </w:r>
      <w:r>
        <w:rPr>
          <w:rFonts w:eastAsia="Calibri"/>
        </w:rPr>
        <w:t xml:space="preserve">     Fig 6 is the EDS spectra of the phosphors under characterization.  From the EDS spectrum, it is found most of the phosphors consist of host and dopants only.  However Figure show the presence of few impurity elements like Nickel, Cobalt. </w:t>
      </w:r>
      <w:r w:rsidRPr="009A4406">
        <w:rPr>
          <w:rFonts w:eastAsia="Calibri"/>
        </w:rPr>
        <w:t>Other elements are in ppm level, which can be found from intensities on the Y – axis of EDS (Energy Dispersion Spectrum) spectra of different phosphors.  The impurities Nickel and Cobalt come from the rare earth oxides used in the preparation and are present in trace level.</w:t>
      </w:r>
    </w:p>
    <w:p w:rsidR="00814131" w:rsidRDefault="00814131" w:rsidP="00814131">
      <w:pPr>
        <w:rPr>
          <w:b/>
        </w:rPr>
      </w:pPr>
    </w:p>
    <w:p w:rsidR="00814131" w:rsidRDefault="00814131" w:rsidP="00814131">
      <w:pPr>
        <w:rPr>
          <w:b/>
        </w:rPr>
      </w:pPr>
    </w:p>
    <w:p w:rsidR="00814131" w:rsidRDefault="00814131" w:rsidP="00814131">
      <w:pPr>
        <w:rPr>
          <w:b/>
        </w:rPr>
      </w:pPr>
    </w:p>
    <w:p w:rsidR="00814131" w:rsidRDefault="00814131" w:rsidP="00814131">
      <w:pPr>
        <w:rPr>
          <w:b/>
        </w:rPr>
      </w:pPr>
    </w:p>
    <w:p w:rsidR="00814131" w:rsidRDefault="00814131" w:rsidP="00814131">
      <w:pPr>
        <w:rPr>
          <w:b/>
        </w:rPr>
      </w:pPr>
    </w:p>
    <w:p w:rsidR="00814131" w:rsidRDefault="00814131" w:rsidP="00814131">
      <w:pPr>
        <w:rPr>
          <w:b/>
        </w:rPr>
      </w:pPr>
    </w:p>
    <w:p w:rsidR="00814131" w:rsidRDefault="00814131" w:rsidP="00814131">
      <w:pPr>
        <w:rPr>
          <w:b/>
        </w:rPr>
      </w:pPr>
    </w:p>
    <w:p w:rsidR="00814131" w:rsidRDefault="00814131" w:rsidP="00814131">
      <w:pPr>
        <w:jc w:val="center"/>
        <w:rPr>
          <w:b/>
        </w:rPr>
      </w:pPr>
    </w:p>
    <w:p w:rsidR="00814131" w:rsidRDefault="00814131" w:rsidP="00814131">
      <w:pPr>
        <w:jc w:val="center"/>
        <w:rPr>
          <w:b/>
        </w:rPr>
      </w:pPr>
      <w:r>
        <w:rPr>
          <w:b/>
        </w:rPr>
        <w:t>Fig. 6</w:t>
      </w:r>
      <w:r w:rsidRPr="00830781">
        <w:rPr>
          <w:b/>
        </w:rPr>
        <w:t xml:space="preserve"> EDS spectrum of </w:t>
      </w:r>
      <w:r>
        <w:rPr>
          <w:b/>
        </w:rPr>
        <w:t>0.1</w:t>
      </w:r>
      <w:r w:rsidRPr="00830781">
        <w:rPr>
          <w:b/>
        </w:rPr>
        <w:t xml:space="preserve">% </w:t>
      </w:r>
      <w:r>
        <w:rPr>
          <w:b/>
        </w:rPr>
        <w:t>Tb</w:t>
      </w:r>
      <w:r w:rsidRPr="00830781">
        <w:rPr>
          <w:b/>
        </w:rPr>
        <w:t xml:space="preserve"> doped  Al</w:t>
      </w:r>
      <w:r w:rsidRPr="00830781">
        <w:rPr>
          <w:b/>
          <w:vertAlign w:val="subscript"/>
        </w:rPr>
        <w:t>2</w:t>
      </w:r>
      <w:r w:rsidRPr="00830781">
        <w:rPr>
          <w:b/>
        </w:rPr>
        <w:t>Sr</w:t>
      </w:r>
      <w:r w:rsidRPr="00830781">
        <w:rPr>
          <w:b/>
          <w:vertAlign w:val="subscript"/>
        </w:rPr>
        <w:t>2</w:t>
      </w:r>
      <w:r w:rsidRPr="00830781">
        <w:rPr>
          <w:b/>
        </w:rPr>
        <w:t>La</w:t>
      </w:r>
      <w:r w:rsidRPr="00830781">
        <w:rPr>
          <w:b/>
          <w:vertAlign w:val="subscript"/>
        </w:rPr>
        <w:t>2</w:t>
      </w:r>
      <w:r w:rsidRPr="00830781">
        <w:rPr>
          <w:b/>
        </w:rPr>
        <w:t>O</w:t>
      </w:r>
      <w:r w:rsidRPr="00830781">
        <w:rPr>
          <w:b/>
          <w:vertAlign w:val="subscript"/>
        </w:rPr>
        <w:t xml:space="preserve">8 </w:t>
      </w:r>
      <w:r w:rsidRPr="00830781">
        <w:rPr>
          <w:b/>
        </w:rPr>
        <w:t>:Eu(0.5%)</w:t>
      </w:r>
      <w:r>
        <w:rPr>
          <w:b/>
        </w:rPr>
        <w:t xml:space="preserve"> </w:t>
      </w:r>
      <w:r w:rsidRPr="00830781">
        <w:rPr>
          <w:b/>
        </w:rPr>
        <w:t>phosphor</w:t>
      </w:r>
    </w:p>
    <w:p w:rsidR="00814131" w:rsidRPr="00746209" w:rsidRDefault="00814131" w:rsidP="00814131">
      <w:pPr>
        <w:tabs>
          <w:tab w:val="left" w:pos="3840"/>
        </w:tabs>
        <w:autoSpaceDE w:val="0"/>
        <w:autoSpaceDN w:val="0"/>
        <w:adjustRightInd w:val="0"/>
        <w:spacing w:line="360" w:lineRule="auto"/>
        <w:jc w:val="both"/>
      </w:pPr>
      <w:r w:rsidRPr="006B07A6">
        <w:rPr>
          <w:noProof/>
          <w:lang w:val="en-IN" w:eastAsia="en-IN"/>
        </w:rPr>
        <w:lastRenderedPageBreak/>
        <w:drawing>
          <wp:inline distT="0" distB="0" distL="0" distR="0">
            <wp:extent cx="2601319" cy="3047626"/>
            <wp:effectExtent l="57150" t="38100" r="46631" b="19424"/>
            <wp:docPr id="8" name="Picture 14" descr="C:\Documents and Settings\Aditi\My Documents\My Pictures\T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Documents and Settings\Aditi\My Documents\My Pictures\Tb.JPG"/>
                    <pic:cNvPicPr>
                      <a:picLocks noChangeAspect="1" noChangeArrowheads="1"/>
                    </pic:cNvPicPr>
                  </pic:nvPicPr>
                  <pic:blipFill>
                    <a:blip r:embed="rId19"/>
                    <a:srcRect l="22813" r="41536" b="27289"/>
                    <a:stretch>
                      <a:fillRect/>
                    </a:stretch>
                  </pic:blipFill>
                  <pic:spPr bwMode="auto">
                    <a:xfrm>
                      <a:off x="0" y="0"/>
                      <a:ext cx="2615376" cy="3064094"/>
                    </a:xfrm>
                    <a:prstGeom prst="rect">
                      <a:avLst/>
                    </a:prstGeom>
                    <a:noFill/>
                    <a:ln w="28575" cmpd="sng">
                      <a:solidFill>
                        <a:srgbClr val="00B050"/>
                      </a:solidFill>
                      <a:miter lim="800000"/>
                      <a:headEnd/>
                      <a:tailEnd/>
                    </a:ln>
                    <a:effectLst/>
                  </pic:spPr>
                </pic:pic>
              </a:graphicData>
            </a:graphic>
          </wp:inline>
        </w:drawing>
      </w:r>
      <w:r w:rsidRPr="00746209">
        <w:tab/>
      </w:r>
    </w:p>
    <w:p w:rsidR="00814131" w:rsidRPr="006B07A6" w:rsidRDefault="00814131" w:rsidP="00814131">
      <w:pPr>
        <w:autoSpaceDE w:val="0"/>
        <w:autoSpaceDN w:val="0"/>
        <w:adjustRightInd w:val="0"/>
        <w:spacing w:line="360" w:lineRule="auto"/>
        <w:jc w:val="both"/>
        <w:rPr>
          <w:b/>
          <w:vertAlign w:val="superscript"/>
        </w:rPr>
      </w:pPr>
      <w:r w:rsidRPr="006B07A6">
        <w:rPr>
          <w:noProof/>
          <w:lang w:val="en-IN" w:eastAsia="en-IN"/>
        </w:rPr>
        <w:drawing>
          <wp:anchor distT="0" distB="0" distL="114300" distR="114300" simplePos="0" relativeHeight="251660288" behindDoc="1" locked="1" layoutInCell="1" allowOverlap="1">
            <wp:simplePos x="0" y="0"/>
            <wp:positionH relativeFrom="column">
              <wp:posOffset>3030855</wp:posOffset>
            </wp:positionH>
            <wp:positionV relativeFrom="paragraph">
              <wp:posOffset>-3192780</wp:posOffset>
            </wp:positionV>
            <wp:extent cx="2543810" cy="3088640"/>
            <wp:effectExtent l="57150" t="38100" r="46990" b="16510"/>
            <wp:wrapTight wrapText="bothSides">
              <wp:wrapPolygon edited="0">
                <wp:start x="-485" y="-266"/>
                <wp:lineTo x="-485" y="21715"/>
                <wp:lineTo x="21999" y="21715"/>
                <wp:lineTo x="21999" y="-266"/>
                <wp:lineTo x="-485" y="-266"/>
              </wp:wrapPolygon>
            </wp:wrapTight>
            <wp:docPr id="2" name="Picture 11" descr="C:\Documents and Settings\Aditi\My Documents\My Pictures\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Aditi\My Documents\My Pictures\Eu.JPG"/>
                    <pic:cNvPicPr>
                      <a:picLocks noChangeAspect="1" noChangeArrowheads="1"/>
                    </pic:cNvPicPr>
                  </pic:nvPicPr>
                  <pic:blipFill>
                    <a:blip r:embed="rId20"/>
                    <a:srcRect l="15558" t="36069" r="40015" b="3053"/>
                    <a:stretch>
                      <a:fillRect/>
                    </a:stretch>
                  </pic:blipFill>
                  <pic:spPr bwMode="auto">
                    <a:xfrm>
                      <a:off x="0" y="0"/>
                      <a:ext cx="2543810" cy="3088640"/>
                    </a:xfrm>
                    <a:prstGeom prst="rect">
                      <a:avLst/>
                    </a:prstGeom>
                    <a:noFill/>
                    <a:ln w="28575">
                      <a:solidFill>
                        <a:srgbClr val="FF0000"/>
                      </a:solidFill>
                      <a:miter lim="800000"/>
                      <a:headEnd/>
                      <a:tailEnd/>
                    </a:ln>
                  </pic:spPr>
                </pic:pic>
              </a:graphicData>
            </a:graphic>
          </wp:anchor>
        </w:drawing>
      </w:r>
      <w:r>
        <w:rPr>
          <w:b/>
        </w:rPr>
        <w:t xml:space="preserve">   </w:t>
      </w:r>
      <w:r w:rsidRPr="006B07A6">
        <w:rPr>
          <w:b/>
        </w:rPr>
        <w:t>Fig</w:t>
      </w:r>
      <w:r>
        <w:rPr>
          <w:b/>
        </w:rPr>
        <w:t>.7</w:t>
      </w:r>
      <w:r w:rsidRPr="006B07A6">
        <w:rPr>
          <w:b/>
        </w:rPr>
        <w:t xml:space="preserve"> Energy Level Diagram of Eu</w:t>
      </w:r>
      <w:r w:rsidRPr="006B07A6">
        <w:rPr>
          <w:b/>
          <w:vertAlign w:val="superscript"/>
        </w:rPr>
        <w:t>3+</w:t>
      </w:r>
      <w:r>
        <w:rPr>
          <w:b/>
          <w:vertAlign w:val="superscript"/>
        </w:rPr>
        <w:t xml:space="preserve">                     </w:t>
      </w:r>
      <w:r w:rsidRPr="006B07A6">
        <w:rPr>
          <w:b/>
          <w:vertAlign w:val="superscript"/>
        </w:rPr>
        <w:t xml:space="preserve">    </w:t>
      </w:r>
      <w:r w:rsidRPr="006B07A6">
        <w:rPr>
          <w:b/>
        </w:rPr>
        <w:t>Fig</w:t>
      </w:r>
      <w:r>
        <w:rPr>
          <w:b/>
        </w:rPr>
        <w:t>.8</w:t>
      </w:r>
      <w:r w:rsidRPr="006B07A6">
        <w:t xml:space="preserve"> </w:t>
      </w:r>
      <w:r w:rsidRPr="006B07A6">
        <w:rPr>
          <w:b/>
        </w:rPr>
        <w:t>Energy Level diagram of Tb</w:t>
      </w:r>
      <w:r w:rsidRPr="006B07A6">
        <w:rPr>
          <w:b/>
          <w:vertAlign w:val="superscript"/>
        </w:rPr>
        <w:t>3+</w:t>
      </w:r>
    </w:p>
    <w:p w:rsidR="00814131" w:rsidRPr="00746209" w:rsidRDefault="00814131" w:rsidP="00814131">
      <w:pPr>
        <w:spacing w:line="360" w:lineRule="auto"/>
        <w:jc w:val="both"/>
      </w:pPr>
    </w:p>
    <w:p w:rsidR="00814131" w:rsidRPr="00713679" w:rsidRDefault="00814131" w:rsidP="00814131">
      <w:pPr>
        <w:tabs>
          <w:tab w:val="left" w:pos="2491"/>
        </w:tabs>
        <w:jc w:val="both"/>
        <w:rPr>
          <w:b/>
          <w:sz w:val="28"/>
          <w:szCs w:val="28"/>
        </w:rPr>
      </w:pPr>
      <w:r w:rsidRPr="00713679">
        <w:rPr>
          <w:b/>
          <w:sz w:val="28"/>
          <w:szCs w:val="28"/>
        </w:rPr>
        <w:t xml:space="preserve"> Conclusions:</w:t>
      </w:r>
    </w:p>
    <w:p w:rsidR="00814131" w:rsidRPr="00746209" w:rsidRDefault="00814131" w:rsidP="00814131">
      <w:pPr>
        <w:pStyle w:val="ListParagraph"/>
        <w:numPr>
          <w:ilvl w:val="0"/>
          <w:numId w:val="9"/>
        </w:numPr>
        <w:spacing w:after="0" w:line="360" w:lineRule="auto"/>
        <w:jc w:val="both"/>
        <w:rPr>
          <w:rFonts w:ascii="Times New Roman" w:hAnsi="Times New Roman"/>
          <w:sz w:val="24"/>
          <w:szCs w:val="24"/>
        </w:rPr>
      </w:pPr>
      <w:r w:rsidRPr="00746209">
        <w:rPr>
          <w:rFonts w:ascii="Times New Roman" w:hAnsi="Times New Roman"/>
          <w:sz w:val="24"/>
          <w:szCs w:val="24"/>
        </w:rPr>
        <w:t>When the Tb</w:t>
      </w:r>
      <w:r w:rsidRPr="00746209">
        <w:rPr>
          <w:rFonts w:ascii="Times New Roman" w:hAnsi="Times New Roman"/>
          <w:sz w:val="24"/>
          <w:szCs w:val="24"/>
          <w:vertAlign w:val="superscript"/>
        </w:rPr>
        <w:t xml:space="preserve">3+   </w:t>
      </w:r>
      <w:r w:rsidRPr="00746209">
        <w:rPr>
          <w:rFonts w:ascii="Times New Roman" w:hAnsi="Times New Roman"/>
          <w:sz w:val="24"/>
          <w:szCs w:val="24"/>
        </w:rPr>
        <w:t>co</w:t>
      </w:r>
      <w:r>
        <w:rPr>
          <w:rFonts w:ascii="Times New Roman" w:hAnsi="Times New Roman"/>
          <w:sz w:val="24"/>
          <w:szCs w:val="24"/>
        </w:rPr>
        <w:t>-</w:t>
      </w:r>
      <w:r w:rsidRPr="00746209">
        <w:rPr>
          <w:rFonts w:ascii="Times New Roman" w:hAnsi="Times New Roman"/>
          <w:sz w:val="24"/>
          <w:szCs w:val="24"/>
        </w:rPr>
        <w:t>doped   ASL:Eu  is excited with 278 nm, the emission  at 588 and 627 nm are dominant.</w:t>
      </w:r>
    </w:p>
    <w:p w:rsidR="00814131" w:rsidRPr="00746209" w:rsidRDefault="00814131" w:rsidP="00814131">
      <w:pPr>
        <w:pStyle w:val="ListParagraph"/>
        <w:numPr>
          <w:ilvl w:val="0"/>
          <w:numId w:val="9"/>
        </w:numPr>
        <w:spacing w:after="0" w:line="360" w:lineRule="auto"/>
        <w:jc w:val="both"/>
        <w:rPr>
          <w:rFonts w:ascii="Times New Roman" w:hAnsi="Times New Roman"/>
          <w:sz w:val="24"/>
          <w:szCs w:val="24"/>
        </w:rPr>
      </w:pPr>
      <w:r w:rsidRPr="00746209">
        <w:rPr>
          <w:rFonts w:ascii="Times New Roman" w:hAnsi="Times New Roman"/>
          <w:sz w:val="24"/>
          <w:szCs w:val="24"/>
        </w:rPr>
        <w:t>With increasing concentration of Tb</w:t>
      </w:r>
      <w:r w:rsidRPr="00746209">
        <w:rPr>
          <w:rFonts w:ascii="Times New Roman" w:hAnsi="Times New Roman"/>
          <w:sz w:val="24"/>
          <w:szCs w:val="24"/>
          <w:vertAlign w:val="superscript"/>
        </w:rPr>
        <w:t>3+</w:t>
      </w:r>
      <w:r w:rsidRPr="00746209">
        <w:rPr>
          <w:rFonts w:ascii="Times New Roman" w:hAnsi="Times New Roman"/>
          <w:sz w:val="24"/>
          <w:szCs w:val="24"/>
        </w:rPr>
        <w:t>, only Eu</w:t>
      </w:r>
      <w:r w:rsidRPr="00746209">
        <w:rPr>
          <w:rFonts w:ascii="Times New Roman" w:hAnsi="Times New Roman"/>
          <w:sz w:val="24"/>
          <w:szCs w:val="24"/>
          <w:vertAlign w:val="superscript"/>
        </w:rPr>
        <w:t>3+</w:t>
      </w:r>
      <w:r w:rsidRPr="00746209">
        <w:rPr>
          <w:rFonts w:ascii="Times New Roman" w:hAnsi="Times New Roman"/>
          <w:sz w:val="24"/>
          <w:szCs w:val="24"/>
        </w:rPr>
        <w:t xml:space="preserve"> emissions are  seen, which may be  due to the energy transfer from Tb</w:t>
      </w:r>
      <w:r w:rsidRPr="00746209">
        <w:rPr>
          <w:rFonts w:ascii="Times New Roman" w:hAnsi="Times New Roman"/>
          <w:sz w:val="24"/>
          <w:szCs w:val="24"/>
          <w:vertAlign w:val="superscript"/>
        </w:rPr>
        <w:t xml:space="preserve">3+ </w:t>
      </w:r>
      <w:r w:rsidRPr="00746209">
        <w:rPr>
          <w:rFonts w:ascii="Times New Roman" w:hAnsi="Times New Roman"/>
          <w:sz w:val="24"/>
          <w:szCs w:val="24"/>
        </w:rPr>
        <w:t xml:space="preserve"> to   Eu</w:t>
      </w:r>
      <w:r w:rsidRPr="00746209">
        <w:rPr>
          <w:rFonts w:ascii="Times New Roman" w:hAnsi="Times New Roman"/>
          <w:sz w:val="24"/>
          <w:szCs w:val="24"/>
          <w:vertAlign w:val="superscript"/>
        </w:rPr>
        <w:t xml:space="preserve">3+   </w:t>
      </w:r>
      <w:r w:rsidRPr="00746209">
        <w:rPr>
          <w:rFonts w:ascii="Times New Roman" w:hAnsi="Times New Roman"/>
          <w:sz w:val="24"/>
          <w:szCs w:val="24"/>
        </w:rPr>
        <w:t xml:space="preserve">and/ or quenching of Tb </w:t>
      </w:r>
      <w:r w:rsidRPr="00746209">
        <w:rPr>
          <w:rFonts w:ascii="Times New Roman" w:hAnsi="Times New Roman"/>
          <w:sz w:val="24"/>
          <w:szCs w:val="24"/>
          <w:vertAlign w:val="superscript"/>
        </w:rPr>
        <w:t>3+</w:t>
      </w:r>
      <w:r w:rsidRPr="00746209">
        <w:rPr>
          <w:rFonts w:ascii="Times New Roman" w:hAnsi="Times New Roman"/>
          <w:sz w:val="24"/>
          <w:szCs w:val="24"/>
        </w:rPr>
        <w:t xml:space="preserve"> emission by  killer sites such as defects, vacancies etc.</w:t>
      </w:r>
    </w:p>
    <w:p w:rsidR="00814131" w:rsidRPr="00746209" w:rsidRDefault="00814131" w:rsidP="00814131">
      <w:pPr>
        <w:pStyle w:val="ListParagraph"/>
        <w:numPr>
          <w:ilvl w:val="0"/>
          <w:numId w:val="9"/>
        </w:numPr>
        <w:spacing w:after="0" w:line="360" w:lineRule="auto"/>
        <w:jc w:val="both"/>
        <w:rPr>
          <w:rFonts w:ascii="Times New Roman" w:hAnsi="Times New Roman"/>
          <w:sz w:val="24"/>
          <w:szCs w:val="24"/>
        </w:rPr>
      </w:pPr>
      <w:r w:rsidRPr="00746209">
        <w:rPr>
          <w:rFonts w:ascii="Times New Roman" w:hAnsi="Times New Roman"/>
          <w:sz w:val="24"/>
          <w:szCs w:val="24"/>
        </w:rPr>
        <w:t>All the peaks observed at 468, 541, 588 and 627 are the allowed transitions of Eu</w:t>
      </w:r>
      <w:r w:rsidRPr="00746209">
        <w:rPr>
          <w:rFonts w:ascii="Times New Roman" w:hAnsi="Times New Roman"/>
          <w:sz w:val="24"/>
          <w:szCs w:val="24"/>
          <w:vertAlign w:val="superscript"/>
        </w:rPr>
        <w:t>3+</w:t>
      </w:r>
      <w:r w:rsidRPr="00746209">
        <w:rPr>
          <w:rFonts w:ascii="Times New Roman" w:hAnsi="Times New Roman"/>
          <w:sz w:val="24"/>
          <w:szCs w:val="24"/>
        </w:rPr>
        <w:t xml:space="preserve">, the intensities of all the observed  peaks are  relatively good for Tb doped  ASL:Eu prepared using  standard solid state reaction. </w:t>
      </w:r>
    </w:p>
    <w:p w:rsidR="00814131" w:rsidRPr="00746209" w:rsidRDefault="00814131" w:rsidP="00814131">
      <w:pPr>
        <w:pStyle w:val="ListParagraph"/>
        <w:numPr>
          <w:ilvl w:val="0"/>
          <w:numId w:val="9"/>
        </w:numPr>
        <w:spacing w:after="0" w:line="360" w:lineRule="auto"/>
        <w:jc w:val="both"/>
      </w:pPr>
      <w:r w:rsidRPr="00746209">
        <w:rPr>
          <w:rFonts w:ascii="Times New Roman" w:hAnsi="Times New Roman"/>
          <w:sz w:val="24"/>
          <w:szCs w:val="24"/>
        </w:rPr>
        <w:t xml:space="preserve">When the ASL:Eu  is prepared with Tb as varying dopant, all the primary colours from near blue, green, yellow and red is observed; as the Tb concentration increases from 0.1 to 2.5% , only 541nm peak with less intensity is present.  </w:t>
      </w:r>
    </w:p>
    <w:p w:rsidR="00814131" w:rsidRPr="00713679" w:rsidRDefault="00814131" w:rsidP="00814131">
      <w:pPr>
        <w:pStyle w:val="ListParagraph"/>
        <w:numPr>
          <w:ilvl w:val="0"/>
          <w:numId w:val="9"/>
        </w:numPr>
        <w:autoSpaceDE w:val="0"/>
        <w:autoSpaceDN w:val="0"/>
        <w:adjustRightInd w:val="0"/>
        <w:spacing w:after="0" w:line="360" w:lineRule="auto"/>
        <w:rPr>
          <w:rFonts w:ascii="Times New Roman" w:hAnsi="Times New Roman"/>
          <w:sz w:val="24"/>
          <w:szCs w:val="24"/>
        </w:rPr>
      </w:pPr>
      <w:r w:rsidRPr="00713679">
        <w:rPr>
          <w:rFonts w:ascii="Times New Roman" w:hAnsi="Times New Roman"/>
          <w:sz w:val="24"/>
          <w:szCs w:val="24"/>
        </w:rPr>
        <w:t xml:space="preserve">XRD analysis shows that the synthesized composition retains the mostly </w:t>
      </w:r>
      <w:r>
        <w:rPr>
          <w:rFonts w:ascii="Times New Roman" w:hAnsi="Times New Roman"/>
          <w:sz w:val="24"/>
          <w:szCs w:val="24"/>
        </w:rPr>
        <w:t>single phase,</w:t>
      </w:r>
      <w:r w:rsidRPr="00713679">
        <w:rPr>
          <w:rFonts w:ascii="Times New Roman" w:hAnsi="Times New Roman"/>
          <w:sz w:val="24"/>
          <w:szCs w:val="24"/>
        </w:rPr>
        <w:t xml:space="preserve"> the crystallite size is 55.10nm.</w:t>
      </w:r>
    </w:p>
    <w:p w:rsidR="00814131" w:rsidRPr="00713679" w:rsidRDefault="00814131" w:rsidP="00814131">
      <w:pPr>
        <w:pStyle w:val="ListParagraph"/>
        <w:numPr>
          <w:ilvl w:val="0"/>
          <w:numId w:val="9"/>
        </w:numPr>
        <w:autoSpaceDE w:val="0"/>
        <w:autoSpaceDN w:val="0"/>
        <w:adjustRightInd w:val="0"/>
        <w:spacing w:after="0" w:line="360" w:lineRule="auto"/>
        <w:rPr>
          <w:rFonts w:ascii="Times New Roman" w:hAnsi="Times New Roman"/>
          <w:sz w:val="24"/>
          <w:szCs w:val="24"/>
        </w:rPr>
      </w:pPr>
      <w:r w:rsidRPr="00713679">
        <w:rPr>
          <w:rFonts w:ascii="Times New Roman" w:hAnsi="Times New Roman"/>
          <w:sz w:val="24"/>
          <w:szCs w:val="24"/>
        </w:rPr>
        <w:t xml:space="preserve">SEM investigation confirms the particles nearly </w:t>
      </w:r>
      <w:r>
        <w:rPr>
          <w:rFonts w:ascii="Times New Roman" w:hAnsi="Times New Roman"/>
          <w:sz w:val="24"/>
          <w:szCs w:val="24"/>
        </w:rPr>
        <w:t xml:space="preserve">spherical in shape having size </w:t>
      </w:r>
      <w:r w:rsidRPr="00713679">
        <w:rPr>
          <w:rFonts w:ascii="Times New Roman" w:hAnsi="Times New Roman"/>
          <w:sz w:val="24"/>
          <w:szCs w:val="24"/>
        </w:rPr>
        <w:t xml:space="preserve"> 4</w:t>
      </w:r>
      <w:r>
        <w:rPr>
          <w:rFonts w:ascii="Times New Roman" w:hAnsi="Times New Roman"/>
          <w:sz w:val="24"/>
          <w:szCs w:val="24"/>
        </w:rPr>
        <w:t xml:space="preserve"> - 6</w:t>
      </w:r>
      <w:r w:rsidRPr="00713679">
        <w:rPr>
          <w:rFonts w:ascii="Times New Roman" w:hAnsi="Times New Roman"/>
          <w:sz w:val="24"/>
          <w:szCs w:val="24"/>
        </w:rPr>
        <w:t xml:space="preserve"> microns.</w:t>
      </w:r>
    </w:p>
    <w:p w:rsidR="00814131" w:rsidRPr="00713679" w:rsidRDefault="00814131" w:rsidP="00814131">
      <w:pPr>
        <w:pStyle w:val="ListParagraph"/>
        <w:numPr>
          <w:ilvl w:val="0"/>
          <w:numId w:val="9"/>
        </w:numPr>
        <w:autoSpaceDE w:val="0"/>
        <w:autoSpaceDN w:val="0"/>
        <w:adjustRightInd w:val="0"/>
        <w:spacing w:after="0" w:line="360" w:lineRule="auto"/>
        <w:rPr>
          <w:rFonts w:ascii="Times New Roman" w:hAnsi="Times New Roman"/>
          <w:sz w:val="24"/>
          <w:szCs w:val="24"/>
        </w:rPr>
      </w:pPr>
      <w:r w:rsidRPr="00713679">
        <w:rPr>
          <w:rFonts w:ascii="Times New Roman" w:hAnsi="Times New Roman"/>
          <w:sz w:val="24"/>
          <w:szCs w:val="24"/>
        </w:rPr>
        <w:t>EDS technique the impurities Nickel and Cobalt come from the rare earth oxides used in the preparation and are present in trace level.</w:t>
      </w:r>
    </w:p>
    <w:p w:rsidR="00814131" w:rsidRDefault="00814131" w:rsidP="00814131">
      <w:pPr>
        <w:pStyle w:val="ListParagraph"/>
        <w:jc w:val="both"/>
        <w:rPr>
          <w:rFonts w:ascii="Times New Roman" w:hAnsi="Times New Roman"/>
          <w:b/>
          <w:sz w:val="28"/>
          <w:szCs w:val="28"/>
        </w:rPr>
      </w:pPr>
      <w:r w:rsidRPr="00527AF2">
        <w:rPr>
          <w:rFonts w:ascii="Times New Roman" w:hAnsi="Times New Roman"/>
          <w:b/>
          <w:sz w:val="28"/>
          <w:szCs w:val="28"/>
        </w:rPr>
        <w:lastRenderedPageBreak/>
        <w:t>References:</w:t>
      </w:r>
    </w:p>
    <w:p w:rsidR="00814131" w:rsidRPr="00527AF2" w:rsidRDefault="00814131" w:rsidP="00814131">
      <w:pPr>
        <w:pStyle w:val="ListParagraph"/>
        <w:jc w:val="both"/>
        <w:rPr>
          <w:rFonts w:ascii="Times New Roman" w:hAnsi="Times New Roman"/>
          <w:sz w:val="28"/>
          <w:szCs w:val="28"/>
        </w:rPr>
      </w:pPr>
    </w:p>
    <w:p w:rsidR="00814131" w:rsidRPr="00746209" w:rsidRDefault="00814131" w:rsidP="00814131">
      <w:pPr>
        <w:pStyle w:val="ListParagraph"/>
        <w:numPr>
          <w:ilvl w:val="1"/>
          <w:numId w:val="8"/>
        </w:numPr>
        <w:jc w:val="both"/>
        <w:rPr>
          <w:rFonts w:ascii="Times New Roman" w:hAnsi="Times New Roman"/>
          <w:sz w:val="24"/>
          <w:szCs w:val="24"/>
        </w:rPr>
      </w:pPr>
      <w:r w:rsidRPr="00746209">
        <w:rPr>
          <w:rFonts w:ascii="Times New Roman" w:hAnsi="Times New Roman"/>
          <w:sz w:val="24"/>
          <w:szCs w:val="24"/>
        </w:rPr>
        <w:t xml:space="preserve">Wu X L, Li J-G, Ping D-H, Li J K, Zhu Q, Li X D, Sun X D and Sakka Y 2013 J. Alloys Compd. 559 188. </w:t>
      </w:r>
    </w:p>
    <w:p w:rsidR="00814131" w:rsidRPr="00746209" w:rsidRDefault="00814131" w:rsidP="00814131">
      <w:pPr>
        <w:pStyle w:val="ListParagraph"/>
        <w:numPr>
          <w:ilvl w:val="1"/>
          <w:numId w:val="8"/>
        </w:numPr>
        <w:jc w:val="both"/>
        <w:rPr>
          <w:rFonts w:ascii="Times New Roman" w:hAnsi="Times New Roman"/>
          <w:sz w:val="24"/>
          <w:szCs w:val="24"/>
        </w:rPr>
      </w:pPr>
      <w:r w:rsidRPr="00746209">
        <w:rPr>
          <w:rFonts w:ascii="Times New Roman" w:hAnsi="Times New Roman"/>
          <w:sz w:val="24"/>
          <w:szCs w:val="24"/>
        </w:rPr>
        <w:t>S. Shinoya, W.M. Yen, Phosphor Handbook, Laser and Optical Science and Technology Series, CRC Press, Boca Raton, 1999.</w:t>
      </w:r>
    </w:p>
    <w:p w:rsidR="00814131" w:rsidRPr="00746209" w:rsidRDefault="00814131" w:rsidP="00814131">
      <w:pPr>
        <w:pStyle w:val="ListParagraph"/>
        <w:numPr>
          <w:ilvl w:val="1"/>
          <w:numId w:val="8"/>
        </w:numPr>
        <w:jc w:val="both"/>
        <w:rPr>
          <w:rFonts w:ascii="Times New Roman" w:hAnsi="Times New Roman"/>
          <w:sz w:val="24"/>
          <w:szCs w:val="24"/>
        </w:rPr>
      </w:pPr>
      <w:r w:rsidRPr="00746209">
        <w:rPr>
          <w:rFonts w:ascii="Times New Roman" w:hAnsi="Times New Roman"/>
          <w:sz w:val="24"/>
          <w:szCs w:val="24"/>
        </w:rPr>
        <w:t>K.V.R. Murthy et al, Journal of Lumin., Vol.124, Issue 2, (2007), Pages 217-220.</w:t>
      </w:r>
    </w:p>
    <w:p w:rsidR="00814131" w:rsidRPr="00746209" w:rsidRDefault="00814131" w:rsidP="00814131">
      <w:pPr>
        <w:pStyle w:val="ListParagraph"/>
        <w:numPr>
          <w:ilvl w:val="1"/>
          <w:numId w:val="8"/>
        </w:numPr>
        <w:jc w:val="both"/>
        <w:rPr>
          <w:rFonts w:ascii="Times New Roman" w:hAnsi="Times New Roman"/>
          <w:sz w:val="24"/>
          <w:szCs w:val="24"/>
        </w:rPr>
      </w:pPr>
      <w:r w:rsidRPr="00746209">
        <w:rPr>
          <w:rFonts w:ascii="Times New Roman" w:hAnsi="Times New Roman"/>
          <w:sz w:val="24"/>
          <w:szCs w:val="24"/>
        </w:rPr>
        <w:t>K V R Murthy, et al, MRB, Vol.41, 10, (2006), 1854-1860.</w:t>
      </w:r>
    </w:p>
    <w:p w:rsidR="00814131" w:rsidRPr="00746209" w:rsidRDefault="00814131" w:rsidP="00814131">
      <w:pPr>
        <w:pStyle w:val="ListParagraph"/>
        <w:numPr>
          <w:ilvl w:val="1"/>
          <w:numId w:val="8"/>
        </w:numPr>
        <w:jc w:val="both"/>
        <w:rPr>
          <w:rFonts w:ascii="Times New Roman" w:hAnsi="Times New Roman"/>
          <w:sz w:val="24"/>
          <w:szCs w:val="24"/>
        </w:rPr>
      </w:pPr>
      <w:r w:rsidRPr="00746209">
        <w:rPr>
          <w:rFonts w:ascii="Times New Roman" w:hAnsi="Times New Roman"/>
          <w:sz w:val="24"/>
          <w:szCs w:val="24"/>
        </w:rPr>
        <w:t>K V R Murthy, et al Philosophical Magazine Letters, Vol.90, No.9, Sept2010, 653–662.</w:t>
      </w:r>
    </w:p>
    <w:p w:rsidR="00814131" w:rsidRPr="000C6764" w:rsidRDefault="00814131" w:rsidP="00814131">
      <w:pPr>
        <w:pStyle w:val="ListParagraph"/>
        <w:numPr>
          <w:ilvl w:val="1"/>
          <w:numId w:val="8"/>
        </w:numPr>
        <w:jc w:val="both"/>
        <w:rPr>
          <w:rFonts w:ascii="Times New Roman" w:hAnsi="Times New Roman"/>
          <w:color w:val="000000"/>
          <w:sz w:val="24"/>
          <w:szCs w:val="24"/>
        </w:rPr>
      </w:pPr>
      <w:r w:rsidRPr="000C6764">
        <w:rPr>
          <w:rFonts w:ascii="Times New Roman" w:hAnsi="Times New Roman"/>
          <w:color w:val="000000"/>
          <w:sz w:val="24"/>
          <w:szCs w:val="24"/>
        </w:rPr>
        <w:t>Ch.Kishore Babu, K.V.R.Murthy, B.Subba Rao,P.Sujitha, Synthesis and characterization of SrS: Eu,Ga Phosphor, International Journal on Science Innovations and Discoveries (IJSID)2012,2(3),ISSN: 2249-5347.</w:t>
      </w:r>
    </w:p>
    <w:p w:rsidR="00814131" w:rsidRPr="000C6764" w:rsidRDefault="00814131" w:rsidP="00814131">
      <w:pPr>
        <w:pStyle w:val="ListParagraph"/>
        <w:numPr>
          <w:ilvl w:val="1"/>
          <w:numId w:val="8"/>
        </w:numPr>
        <w:jc w:val="both"/>
        <w:rPr>
          <w:rFonts w:ascii="Times New Roman" w:hAnsi="Times New Roman"/>
          <w:color w:val="000000"/>
          <w:sz w:val="24"/>
          <w:szCs w:val="24"/>
        </w:rPr>
      </w:pPr>
      <w:r w:rsidRPr="000C6764">
        <w:rPr>
          <w:rFonts w:ascii="Times New Roman" w:hAnsi="Times New Roman"/>
          <w:color w:val="000000"/>
          <w:sz w:val="24"/>
          <w:szCs w:val="24"/>
        </w:rPr>
        <w:t>Yen, W.M et.al,., Inorganic Phosphors, CRC Press.Boca Raton, FL (USA),(2004).</w:t>
      </w:r>
    </w:p>
    <w:p w:rsidR="00814131" w:rsidRPr="000C6764" w:rsidRDefault="00814131" w:rsidP="00814131">
      <w:pPr>
        <w:pStyle w:val="ListParagraph"/>
        <w:numPr>
          <w:ilvl w:val="1"/>
          <w:numId w:val="8"/>
        </w:numPr>
        <w:jc w:val="both"/>
        <w:rPr>
          <w:rFonts w:ascii="Times New Roman" w:hAnsi="Times New Roman"/>
          <w:sz w:val="24"/>
          <w:szCs w:val="24"/>
        </w:rPr>
      </w:pPr>
      <w:r w:rsidRPr="000C6764">
        <w:rPr>
          <w:rFonts w:ascii="Times New Roman" w:hAnsi="Times New Roman"/>
          <w:sz w:val="24"/>
          <w:szCs w:val="24"/>
        </w:rPr>
        <w:t>Maniquiz M C, Jung K Y and Jeong S M 2010, J. Electrochem. Soc. 157 H1135</w:t>
      </w:r>
    </w:p>
    <w:p w:rsidR="00814131" w:rsidRPr="000C6764" w:rsidRDefault="00814131" w:rsidP="00814131">
      <w:pPr>
        <w:pStyle w:val="ListParagraph"/>
        <w:numPr>
          <w:ilvl w:val="1"/>
          <w:numId w:val="8"/>
        </w:numPr>
        <w:jc w:val="both"/>
        <w:rPr>
          <w:rFonts w:ascii="Times New Roman" w:hAnsi="Times New Roman"/>
          <w:sz w:val="24"/>
          <w:szCs w:val="24"/>
        </w:rPr>
      </w:pPr>
      <w:r w:rsidRPr="000C6764">
        <w:rPr>
          <w:rFonts w:ascii="Times New Roman" w:hAnsi="Times New Roman"/>
          <w:sz w:val="24"/>
          <w:szCs w:val="24"/>
        </w:rPr>
        <w:t>Hipolito M G, Ocampo A C, Fregoso O A, Martinez E, Mendoza J G and Falcony C 2004 Phys. Status Solidi a 201 72</w:t>
      </w:r>
    </w:p>
    <w:p w:rsidR="00814131" w:rsidRPr="000C6764" w:rsidRDefault="00814131" w:rsidP="00814131">
      <w:pPr>
        <w:pStyle w:val="ListParagraph"/>
        <w:numPr>
          <w:ilvl w:val="1"/>
          <w:numId w:val="8"/>
        </w:numPr>
        <w:jc w:val="both"/>
        <w:rPr>
          <w:rFonts w:ascii="Times New Roman" w:hAnsi="Times New Roman"/>
          <w:sz w:val="24"/>
          <w:szCs w:val="24"/>
        </w:rPr>
      </w:pPr>
      <w:r w:rsidRPr="000C6764">
        <w:rPr>
          <w:rFonts w:ascii="Times New Roman" w:hAnsi="Times New Roman"/>
          <w:sz w:val="24"/>
          <w:szCs w:val="24"/>
        </w:rPr>
        <w:t>Song H W and Wang J W 2006 J. Lumin. 118 220</w:t>
      </w:r>
    </w:p>
    <w:p w:rsidR="00814131" w:rsidRPr="000C6764" w:rsidRDefault="00814131" w:rsidP="00814131">
      <w:pPr>
        <w:pStyle w:val="ListParagraph"/>
        <w:numPr>
          <w:ilvl w:val="1"/>
          <w:numId w:val="8"/>
        </w:numPr>
        <w:jc w:val="both"/>
        <w:rPr>
          <w:rFonts w:ascii="Times New Roman" w:hAnsi="Times New Roman"/>
          <w:sz w:val="24"/>
          <w:szCs w:val="24"/>
        </w:rPr>
      </w:pPr>
      <w:r w:rsidRPr="000C6764">
        <w:rPr>
          <w:rFonts w:ascii="Times New Roman" w:hAnsi="Times New Roman"/>
          <w:sz w:val="24"/>
          <w:szCs w:val="24"/>
        </w:rPr>
        <w:t>Ratinen H 1972 Phys. Solid State A 12 447</w:t>
      </w:r>
    </w:p>
    <w:p w:rsidR="00814131" w:rsidRPr="000C6764" w:rsidRDefault="00814131" w:rsidP="00814131">
      <w:pPr>
        <w:pStyle w:val="ListParagraph"/>
        <w:numPr>
          <w:ilvl w:val="1"/>
          <w:numId w:val="8"/>
        </w:numPr>
        <w:jc w:val="both"/>
        <w:rPr>
          <w:rFonts w:ascii="Times New Roman" w:hAnsi="Times New Roman"/>
          <w:sz w:val="24"/>
          <w:szCs w:val="24"/>
        </w:rPr>
      </w:pPr>
      <w:r w:rsidRPr="000C6764">
        <w:rPr>
          <w:rFonts w:ascii="Times New Roman" w:hAnsi="Times New Roman"/>
          <w:sz w:val="24"/>
          <w:szCs w:val="24"/>
        </w:rPr>
        <w:t>Klimczak M, Malinowski M, Sarnecki J and Piramidowicz R 2009 J. Lumin. 129 1869</w:t>
      </w:r>
    </w:p>
    <w:p w:rsidR="00814131" w:rsidRPr="000C6764" w:rsidRDefault="00814131" w:rsidP="00814131">
      <w:pPr>
        <w:pStyle w:val="ListParagraph"/>
        <w:numPr>
          <w:ilvl w:val="1"/>
          <w:numId w:val="8"/>
        </w:numPr>
        <w:jc w:val="both"/>
        <w:rPr>
          <w:rFonts w:ascii="Times New Roman" w:hAnsi="Times New Roman"/>
          <w:sz w:val="24"/>
          <w:szCs w:val="24"/>
        </w:rPr>
      </w:pPr>
      <w:r w:rsidRPr="000C6764">
        <w:rPr>
          <w:rFonts w:ascii="Times New Roman" w:hAnsi="Times New Roman"/>
          <w:sz w:val="24"/>
          <w:szCs w:val="24"/>
        </w:rPr>
        <w:t>Heyes A L, Seefeldt S and Feist J P 2006 Opt. Laser Technol.38 257</w:t>
      </w:r>
    </w:p>
    <w:p w:rsidR="00814131" w:rsidRPr="000C6764" w:rsidRDefault="00814131" w:rsidP="00814131">
      <w:pPr>
        <w:pStyle w:val="ListParagraph"/>
        <w:numPr>
          <w:ilvl w:val="1"/>
          <w:numId w:val="8"/>
        </w:numPr>
        <w:jc w:val="both"/>
        <w:rPr>
          <w:rFonts w:ascii="Times New Roman" w:hAnsi="Times New Roman"/>
          <w:sz w:val="24"/>
          <w:szCs w:val="24"/>
        </w:rPr>
      </w:pPr>
      <w:r w:rsidRPr="000C6764">
        <w:rPr>
          <w:rFonts w:ascii="Times New Roman" w:hAnsi="Times New Roman"/>
          <w:sz w:val="24"/>
          <w:szCs w:val="24"/>
        </w:rPr>
        <w:t>Wang H, Yang J, Zhang C M and Lin J 2009 J. Solid State Chem. 182 2716</w:t>
      </w:r>
    </w:p>
    <w:p w:rsidR="00814131" w:rsidRPr="000C6764" w:rsidRDefault="00814131" w:rsidP="00814131">
      <w:pPr>
        <w:pStyle w:val="ListParagraph"/>
        <w:numPr>
          <w:ilvl w:val="1"/>
          <w:numId w:val="8"/>
        </w:numPr>
        <w:jc w:val="both"/>
        <w:rPr>
          <w:rFonts w:ascii="Times New Roman" w:hAnsi="Times New Roman"/>
          <w:sz w:val="24"/>
          <w:szCs w:val="24"/>
        </w:rPr>
      </w:pPr>
      <w:r w:rsidRPr="000C6764">
        <w:rPr>
          <w:rFonts w:ascii="Times New Roman" w:hAnsi="Times New Roman"/>
          <w:sz w:val="24"/>
          <w:szCs w:val="24"/>
        </w:rPr>
        <w:t>Yang J, Li C, Quan Z, Zhang C, Yang P, Li Y, Yu C and Lin J 2008 J. Phys. Chem. C 112 12777</w:t>
      </w:r>
    </w:p>
    <w:p w:rsidR="00814131" w:rsidRPr="000C6764" w:rsidRDefault="00814131" w:rsidP="00814131">
      <w:pPr>
        <w:pStyle w:val="ListParagraph"/>
        <w:numPr>
          <w:ilvl w:val="1"/>
          <w:numId w:val="8"/>
        </w:numPr>
        <w:jc w:val="both"/>
        <w:rPr>
          <w:rFonts w:ascii="Times New Roman" w:hAnsi="Times New Roman"/>
          <w:sz w:val="24"/>
          <w:szCs w:val="24"/>
        </w:rPr>
      </w:pPr>
      <w:r w:rsidRPr="000C6764">
        <w:rPr>
          <w:rFonts w:ascii="Times New Roman" w:hAnsi="Times New Roman"/>
          <w:sz w:val="24"/>
          <w:szCs w:val="24"/>
        </w:rPr>
        <w:t>Zhu Q, Li J-G, Li X D and Sun X D 2009 Acta Mater. 57 5975</w:t>
      </w:r>
    </w:p>
    <w:p w:rsidR="00814131" w:rsidRPr="000C6764" w:rsidRDefault="00814131" w:rsidP="00814131">
      <w:pPr>
        <w:pStyle w:val="ListParagraph"/>
        <w:numPr>
          <w:ilvl w:val="1"/>
          <w:numId w:val="8"/>
        </w:numPr>
        <w:jc w:val="both"/>
        <w:rPr>
          <w:rFonts w:ascii="Times New Roman" w:hAnsi="Times New Roman"/>
          <w:sz w:val="24"/>
          <w:szCs w:val="24"/>
        </w:rPr>
      </w:pPr>
      <w:r w:rsidRPr="000C6764">
        <w:rPr>
          <w:rFonts w:ascii="Times New Roman" w:hAnsi="Times New Roman"/>
          <w:sz w:val="24"/>
          <w:szCs w:val="24"/>
        </w:rPr>
        <w:t>Di W, Wang X, Zhu P and Chen B 2007 J. Solid State Chem.180 467</w:t>
      </w:r>
    </w:p>
    <w:p w:rsidR="00814131" w:rsidRPr="000C6764" w:rsidRDefault="00814131" w:rsidP="00814131">
      <w:pPr>
        <w:pStyle w:val="ListParagraph"/>
        <w:numPr>
          <w:ilvl w:val="1"/>
          <w:numId w:val="8"/>
        </w:numPr>
        <w:jc w:val="both"/>
        <w:rPr>
          <w:rFonts w:ascii="Times New Roman" w:hAnsi="Times New Roman"/>
          <w:sz w:val="24"/>
          <w:szCs w:val="24"/>
        </w:rPr>
      </w:pPr>
      <w:r w:rsidRPr="000C6764">
        <w:rPr>
          <w:rFonts w:ascii="Times New Roman" w:hAnsi="Times New Roman"/>
          <w:sz w:val="24"/>
          <w:szCs w:val="24"/>
        </w:rPr>
        <w:t>Wu X L, Li J-G, Li J K, Zhu Q, Li X D, Sun X D and Sakka Y 2013 Sci. Technol. Adv. Mater. 14 015006</w:t>
      </w:r>
    </w:p>
    <w:p w:rsidR="00814131" w:rsidRPr="000C6764" w:rsidRDefault="00814131" w:rsidP="00814131">
      <w:pPr>
        <w:pStyle w:val="ListParagraph"/>
        <w:numPr>
          <w:ilvl w:val="1"/>
          <w:numId w:val="8"/>
        </w:numPr>
        <w:jc w:val="both"/>
        <w:rPr>
          <w:rFonts w:ascii="Times New Roman" w:hAnsi="Times New Roman"/>
          <w:sz w:val="24"/>
          <w:szCs w:val="24"/>
        </w:rPr>
      </w:pPr>
      <w:r w:rsidRPr="000C6764">
        <w:rPr>
          <w:rFonts w:ascii="Times New Roman" w:hAnsi="Times New Roman"/>
          <w:sz w:val="24"/>
          <w:szCs w:val="24"/>
        </w:rPr>
        <w:t>Azuel F 2004 Chem. Rev. 104 139</w:t>
      </w:r>
    </w:p>
    <w:p w:rsidR="00814131" w:rsidRPr="0083675C" w:rsidRDefault="00814131" w:rsidP="00814131">
      <w:pPr>
        <w:pStyle w:val="ListParagraph"/>
        <w:numPr>
          <w:ilvl w:val="1"/>
          <w:numId w:val="8"/>
        </w:numPr>
        <w:jc w:val="both"/>
        <w:rPr>
          <w:rFonts w:ascii="Times New Roman" w:hAnsi="Times New Roman"/>
          <w:sz w:val="24"/>
          <w:szCs w:val="24"/>
        </w:rPr>
      </w:pPr>
      <w:r w:rsidRPr="0083675C">
        <w:rPr>
          <w:rFonts w:ascii="Times New Roman" w:hAnsi="Times New Roman"/>
          <w:sz w:val="24"/>
          <w:szCs w:val="24"/>
        </w:rPr>
        <w:t>Raukas M, Basun S A, van Schaik W, Yen W M and Happek U 1996 Appl. Phys. Lett. 69 3300 Sci. Technol. Adv. Mater. 16 (2015) 014902</w:t>
      </w:r>
    </w:p>
    <w:p w:rsidR="00814131" w:rsidRPr="0083675C" w:rsidRDefault="00814131" w:rsidP="00814131">
      <w:pPr>
        <w:pStyle w:val="ListParagraph"/>
        <w:numPr>
          <w:ilvl w:val="1"/>
          <w:numId w:val="8"/>
        </w:numPr>
        <w:jc w:val="both"/>
        <w:rPr>
          <w:rFonts w:ascii="Times New Roman" w:hAnsi="Times New Roman"/>
          <w:sz w:val="24"/>
          <w:szCs w:val="24"/>
        </w:rPr>
      </w:pPr>
      <w:r w:rsidRPr="0083675C">
        <w:rPr>
          <w:rFonts w:ascii="Times New Roman" w:hAnsi="Times New Roman"/>
          <w:sz w:val="24"/>
          <w:szCs w:val="24"/>
        </w:rPr>
        <w:t xml:space="preserve">D.Srinivasa Rao,   P Sai Raju,  B.Subba Rao   and   K. V. R. Murthy International  Journal  of   Luminescence  and  its   applications (IJLA),   Volume 4(II),    04/04/2014,   ISSN 2277 – 6362   </w:t>
      </w:r>
    </w:p>
    <w:p w:rsidR="00814131" w:rsidRPr="0083675C" w:rsidRDefault="00814131" w:rsidP="00814131">
      <w:pPr>
        <w:pStyle w:val="ListParagraph"/>
        <w:numPr>
          <w:ilvl w:val="1"/>
          <w:numId w:val="8"/>
        </w:numPr>
        <w:jc w:val="both"/>
        <w:rPr>
          <w:rFonts w:ascii="Times New Roman" w:hAnsi="Times New Roman"/>
          <w:sz w:val="24"/>
          <w:szCs w:val="24"/>
        </w:rPr>
      </w:pPr>
      <w:r w:rsidRPr="0083675C">
        <w:rPr>
          <w:rFonts w:ascii="Times New Roman" w:hAnsi="Times New Roman"/>
          <w:sz w:val="24"/>
          <w:szCs w:val="24"/>
        </w:rPr>
        <w:t xml:space="preserve">D. Srinivasa Rao, P. Sai Raju, Sk. Erfan, B. Subba Rao and K.V.R.Murthy, International Journal of Advanced Research in Physical Science (IJARPS)                         , Volume 2,  Issue 1A, PP 130-132, January, 2015  ISSN: 2349-7874 (Print)       </w:t>
      </w:r>
    </w:p>
    <w:p w:rsidR="00814131" w:rsidRPr="0083675C" w:rsidRDefault="00814131" w:rsidP="00814131">
      <w:pPr>
        <w:pStyle w:val="ListParagraph"/>
        <w:numPr>
          <w:ilvl w:val="1"/>
          <w:numId w:val="8"/>
        </w:numPr>
        <w:jc w:val="both"/>
        <w:rPr>
          <w:rFonts w:ascii="Times New Roman" w:hAnsi="Times New Roman"/>
          <w:sz w:val="24"/>
          <w:szCs w:val="24"/>
        </w:rPr>
      </w:pPr>
      <w:r w:rsidRPr="0083675C">
        <w:rPr>
          <w:rFonts w:ascii="Times New Roman" w:hAnsi="Times New Roman"/>
          <w:sz w:val="24"/>
          <w:szCs w:val="24"/>
        </w:rPr>
        <w:lastRenderedPageBreak/>
        <w:t xml:space="preserve">P. Sai Raju, D. Srinivasa Rao, B.Subba Rao and K. V. R. Murthy International  Journal  of  Luminescence  and  its  applications (IJLA)  Volume 4(II), 04/04/2014,  ISSN 2277 – 6362 </w:t>
      </w:r>
      <w:r w:rsidRPr="0083675C">
        <w:rPr>
          <w:rFonts w:ascii="Times New Roman" w:hAnsi="Times New Roman"/>
          <w:sz w:val="24"/>
          <w:szCs w:val="24"/>
        </w:rPr>
        <w:tab/>
      </w:r>
    </w:p>
    <w:p w:rsidR="00814131" w:rsidRPr="0083675C" w:rsidRDefault="00814131" w:rsidP="00814131">
      <w:pPr>
        <w:pStyle w:val="ListParagraph"/>
        <w:numPr>
          <w:ilvl w:val="1"/>
          <w:numId w:val="8"/>
        </w:numPr>
        <w:jc w:val="both"/>
        <w:rPr>
          <w:rFonts w:ascii="Times New Roman" w:hAnsi="Times New Roman"/>
          <w:sz w:val="24"/>
          <w:szCs w:val="24"/>
        </w:rPr>
      </w:pPr>
      <w:r w:rsidRPr="0083675C">
        <w:rPr>
          <w:rFonts w:ascii="Times New Roman" w:hAnsi="Times New Roman"/>
          <w:sz w:val="24"/>
          <w:szCs w:val="24"/>
        </w:rPr>
        <w:t>P Sai Raju, K Suresh, K. V. R. Murthy, D. Srinivasa Rao and B.Subba Rao International  Referred  Journal  of  Engineering  and  Sciences</w:t>
      </w:r>
      <w:r>
        <w:rPr>
          <w:rFonts w:ascii="Times New Roman" w:hAnsi="Times New Roman"/>
          <w:sz w:val="24"/>
          <w:szCs w:val="24"/>
        </w:rPr>
        <w:t xml:space="preserve">   (IRJES)</w:t>
      </w:r>
      <w:r w:rsidRPr="0083675C">
        <w:rPr>
          <w:rFonts w:ascii="Times New Roman" w:hAnsi="Times New Roman"/>
          <w:sz w:val="24"/>
          <w:szCs w:val="24"/>
        </w:rPr>
        <w:t xml:space="preserve"> ISSN (Online) 2319-183X, (Print) 2319-1821,  Volume 4,  Issue 5   (May 2015),   PP.24-29</w:t>
      </w:r>
      <w:r>
        <w:rPr>
          <w:rFonts w:ascii="Times New Roman" w:hAnsi="Times New Roman"/>
          <w:sz w:val="24"/>
          <w:szCs w:val="24"/>
        </w:rPr>
        <w:t>.</w:t>
      </w:r>
      <w:r w:rsidRPr="0083675C">
        <w:rPr>
          <w:rFonts w:ascii="Times New Roman" w:hAnsi="Times New Roman"/>
          <w:sz w:val="24"/>
          <w:szCs w:val="24"/>
        </w:rPr>
        <w:t xml:space="preserve">           </w:t>
      </w:r>
    </w:p>
    <w:p w:rsidR="00814131" w:rsidRDefault="00814131" w:rsidP="00814131">
      <w:pPr>
        <w:pStyle w:val="ListParagraph"/>
        <w:numPr>
          <w:ilvl w:val="1"/>
          <w:numId w:val="8"/>
        </w:numPr>
        <w:jc w:val="both"/>
        <w:rPr>
          <w:rFonts w:ascii="Times New Roman" w:hAnsi="Times New Roman"/>
          <w:sz w:val="24"/>
          <w:szCs w:val="24"/>
        </w:rPr>
      </w:pPr>
      <w:r w:rsidRPr="0083675C">
        <w:rPr>
          <w:rFonts w:ascii="Times New Roman" w:hAnsi="Times New Roman"/>
          <w:sz w:val="24"/>
          <w:szCs w:val="24"/>
        </w:rPr>
        <w:t>K.V.R.Murthy,  P. Sai Raju, D. Srinivasa rao, Sk. Erfan and  B. Subba Rao   International Journal of Advanced Research in Physical Science (IJARPS)   Volume 2,  Issue 1A, PP 119-121, January, 2015  ISSN: 2349-7874</w:t>
      </w:r>
    </w:p>
    <w:p w:rsidR="00814131" w:rsidRPr="0048459E" w:rsidRDefault="00814131" w:rsidP="00814131">
      <w:pPr>
        <w:pStyle w:val="ListParagraph"/>
        <w:numPr>
          <w:ilvl w:val="1"/>
          <w:numId w:val="8"/>
        </w:numPr>
        <w:autoSpaceDE w:val="0"/>
        <w:autoSpaceDN w:val="0"/>
        <w:adjustRightInd w:val="0"/>
        <w:spacing w:after="0" w:line="360" w:lineRule="auto"/>
        <w:jc w:val="both"/>
        <w:rPr>
          <w:rFonts w:ascii="Times New Roman" w:hAnsi="Times New Roman"/>
          <w:sz w:val="24"/>
          <w:szCs w:val="24"/>
        </w:rPr>
      </w:pPr>
      <w:r w:rsidRPr="0083675C">
        <w:rPr>
          <w:rFonts w:ascii="Times New Roman" w:hAnsi="Times New Roman"/>
          <w:sz w:val="24"/>
          <w:szCs w:val="24"/>
        </w:rPr>
        <w:t xml:space="preserve">D. Srinivasa Rao, P. Sai Raju, B. Subba Rao and K.V.R.Murthy, </w:t>
      </w:r>
      <w:r>
        <w:rPr>
          <w:rFonts w:ascii="Times New Roman" w:hAnsi="Times New Roman"/>
          <w:sz w:val="24"/>
          <w:szCs w:val="24"/>
        </w:rPr>
        <w:t xml:space="preserve">              </w:t>
      </w:r>
      <w:r w:rsidRPr="0048459E">
        <w:rPr>
          <w:rFonts w:ascii="Times New Roman" w:hAnsi="Times New Roman"/>
          <w:bCs/>
          <w:iCs/>
          <w:sz w:val="24"/>
          <w:szCs w:val="24"/>
        </w:rPr>
        <w:t>International Journal of Recent Scientific Research Research, Vol. 6, Issue, 9, pp.6430-6434, September, 2015</w:t>
      </w:r>
    </w:p>
    <w:p w:rsidR="00814131" w:rsidRPr="0083675C" w:rsidRDefault="00814131" w:rsidP="00814131">
      <w:pPr>
        <w:spacing w:line="360" w:lineRule="auto"/>
        <w:jc w:val="both"/>
      </w:pPr>
    </w:p>
    <w:p w:rsidR="00814131" w:rsidRDefault="00814131" w:rsidP="00814131"/>
    <w:p w:rsidR="00335FF3" w:rsidRPr="00814131" w:rsidRDefault="00335FF3" w:rsidP="00814131"/>
    <w:sectPr w:rsidR="00335FF3" w:rsidRPr="00814131" w:rsidSect="00814131">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pgNumType w:start="1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06E2" w:rsidRDefault="00CB06E2" w:rsidP="009D5905">
      <w:r>
        <w:separator/>
      </w:r>
    </w:p>
  </w:endnote>
  <w:endnote w:type="continuationSeparator" w:id="1">
    <w:p w:rsidR="00CB06E2" w:rsidRDefault="00CB06E2" w:rsidP="009D59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2E8" w:rsidRDefault="004C72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4194"/>
      <w:docPartObj>
        <w:docPartGallery w:val="Page Numbers (Bottom of Page)"/>
        <w:docPartUnique/>
      </w:docPartObj>
    </w:sdtPr>
    <w:sdtContent>
      <w:p w:rsidR="00EC5137" w:rsidRDefault="00EC5137" w:rsidP="00EC5137">
        <w:pPr>
          <w:pStyle w:val="Footer"/>
          <w:pBdr>
            <w:top w:val="thinThickSmallGap" w:sz="24" w:space="1" w:color="622423"/>
          </w:pBdr>
          <w:jc w:val="center"/>
          <w:rPr>
            <w:rFonts w:ascii="Cambria" w:hAnsi="Cambria"/>
          </w:rPr>
        </w:pPr>
        <w:r w:rsidRPr="005968A0">
          <w:rPr>
            <w:rFonts w:ascii="Calibri" w:hAnsi="Calibri" w:cs="Calibri"/>
            <w:color w:val="000000"/>
            <w:sz w:val="16"/>
            <w:szCs w:val="16"/>
          </w:rPr>
          <w:t>A Monthly Double-Blind Peer Reviewed Refereed Open Access International e-Journal - Included in the International Serial Directories</w:t>
        </w:r>
      </w:p>
      <w:p w:rsidR="00EC5137" w:rsidRDefault="00EC5137" w:rsidP="00EC5137">
        <w:pPr>
          <w:pStyle w:val="Footer"/>
          <w:pBdr>
            <w:top w:val="thinThickSmallGap" w:sz="24" w:space="1" w:color="622423"/>
          </w:pBdr>
          <w:jc w:val="center"/>
          <w:rPr>
            <w:rFonts w:ascii="Cambria" w:hAnsi="Cambria"/>
          </w:rPr>
        </w:pPr>
        <w:r w:rsidRPr="00F64508">
          <w:rPr>
            <w:rFonts w:ascii="Cambria" w:hAnsi="Cambria"/>
          </w:rPr>
          <w:t xml:space="preserve">International Journal in </w:t>
        </w:r>
        <w:r>
          <w:rPr>
            <w:rFonts w:ascii="Cambria" w:hAnsi="Cambria"/>
          </w:rPr>
          <w:t xml:space="preserve">Physical &amp; Applied </w:t>
        </w:r>
        <w:r w:rsidRPr="00F64508">
          <w:rPr>
            <w:rFonts w:ascii="Cambria" w:hAnsi="Cambria"/>
          </w:rPr>
          <w:t>Sciences</w:t>
        </w:r>
      </w:p>
      <w:p w:rsidR="003C3FED" w:rsidRPr="00EC5137" w:rsidRDefault="00EC5137" w:rsidP="00EC5137">
        <w:pPr>
          <w:pStyle w:val="Footer"/>
          <w:pBdr>
            <w:top w:val="thinThickSmallGap" w:sz="24" w:space="1" w:color="622423"/>
          </w:pBdr>
          <w:tabs>
            <w:tab w:val="right" w:pos="9298"/>
          </w:tabs>
          <w:jc w:val="center"/>
          <w:rPr>
            <w:rFonts w:ascii="Cambria" w:hAnsi="Cambria"/>
          </w:rPr>
        </w:pPr>
        <w:r>
          <w:t xml:space="preserve">                                         </w:t>
        </w:r>
        <w:hyperlink r:id="rId1" w:history="1">
          <w:r w:rsidRPr="00F64508">
            <w:rPr>
              <w:rStyle w:val="Hyperlink"/>
              <w:rFonts w:ascii="Cambria" w:hAnsi="Cambria"/>
            </w:rPr>
            <w:t>http://www.ijmr.ne</w:t>
          </w:r>
          <w:r>
            <w:rPr>
              <w:rStyle w:val="Hyperlink"/>
              <w:rFonts w:ascii="Cambria" w:hAnsi="Cambria"/>
            </w:rPr>
            <w:t>t.in</w:t>
          </w:r>
        </w:hyperlink>
        <w:r w:rsidRPr="00F64508">
          <w:rPr>
            <w:rFonts w:ascii="Cambria" w:hAnsi="Cambria"/>
          </w:rPr>
          <w:t xml:space="preserve"> email id- </w:t>
        </w:r>
        <w:hyperlink r:id="rId2" w:history="1">
          <w:r w:rsidRPr="00C834C0">
            <w:rPr>
              <w:rStyle w:val="Hyperlink"/>
              <w:rFonts w:ascii="Cambria" w:hAnsi="Cambria"/>
            </w:rPr>
            <w:t>irjmss@gmail.com</w:t>
          </w:r>
        </w:hyperlink>
        <w:r>
          <w:rPr>
            <w:rFonts w:ascii="Cambria" w:hAnsi="Cambria"/>
          </w:rPr>
          <w:t xml:space="preserve"> </w:t>
        </w:r>
        <w:r w:rsidRPr="005968A0">
          <w:rPr>
            <w:rFonts w:ascii="Calibri" w:hAnsi="Calibri" w:cs="Calibri"/>
          </w:rPr>
          <w:tab/>
          <w:t>Page</w:t>
        </w:r>
        <w:r>
          <w:rPr>
            <w:rFonts w:ascii="Cambria" w:hAnsi="Cambria"/>
          </w:rPr>
          <w:t xml:space="preserve"> </w:t>
        </w:r>
        <w:fldSimple w:instr=" PAGE   \* MERGEFORMAT ">
          <w:r w:rsidR="00814131" w:rsidRPr="00814131">
            <w:rPr>
              <w:rFonts w:ascii="Cambria" w:hAnsi="Cambria"/>
              <w:noProof/>
            </w:rPr>
            <w:t>20</w:t>
          </w:r>
        </w:fldSimple>
      </w:p>
    </w:sdtContent>
  </w:sdt>
  <w:p w:rsidR="003C3FED" w:rsidRDefault="003C3FE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2E8" w:rsidRDefault="004C72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06E2" w:rsidRDefault="00CB06E2" w:rsidP="009D5905">
      <w:r>
        <w:separator/>
      </w:r>
    </w:p>
  </w:footnote>
  <w:footnote w:type="continuationSeparator" w:id="1">
    <w:p w:rsidR="00CB06E2" w:rsidRDefault="00CB06E2" w:rsidP="009D59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2E8" w:rsidRDefault="004C72E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137" w:rsidRPr="00304EAD" w:rsidRDefault="00EC5137" w:rsidP="00EC5137">
    <w:pPr>
      <w:pStyle w:val="Header"/>
      <w:pBdr>
        <w:bottom w:val="thickThinSmallGap" w:sz="24" w:space="1" w:color="622423"/>
      </w:pBdr>
      <w:jc w:val="center"/>
      <w:rPr>
        <w:rFonts w:ascii="Calibri" w:hAnsi="Calibri" w:cs="Calibri"/>
        <w:b/>
        <w:sz w:val="22"/>
        <w:szCs w:val="22"/>
      </w:rPr>
    </w:pPr>
    <w:r w:rsidRPr="00304EAD">
      <w:rPr>
        <w:rFonts w:ascii="Calibri" w:hAnsi="Calibri" w:cs="Calibri"/>
        <w:b/>
        <w:sz w:val="22"/>
        <w:szCs w:val="22"/>
      </w:rPr>
      <w:t>IJPAS       Vol.02 Issue-</w:t>
    </w:r>
    <w:r w:rsidR="004C72E8">
      <w:rPr>
        <w:rFonts w:ascii="Calibri" w:hAnsi="Calibri" w:cs="Calibri"/>
        <w:b/>
        <w:sz w:val="22"/>
        <w:szCs w:val="22"/>
      </w:rPr>
      <w:t>10</w:t>
    </w:r>
    <w:r w:rsidRPr="00304EAD">
      <w:rPr>
        <w:rFonts w:ascii="Calibri" w:hAnsi="Calibri" w:cs="Calibri"/>
        <w:b/>
        <w:sz w:val="22"/>
        <w:szCs w:val="22"/>
      </w:rPr>
      <w:t>, (</w:t>
    </w:r>
    <w:r w:rsidR="004C72E8">
      <w:rPr>
        <w:rFonts w:ascii="Calibri" w:hAnsi="Calibri" w:cs="Calibri"/>
        <w:b/>
        <w:sz w:val="22"/>
        <w:szCs w:val="22"/>
      </w:rPr>
      <w:t>October</w:t>
    </w:r>
    <w:r w:rsidRPr="00304EAD">
      <w:rPr>
        <w:rFonts w:ascii="Calibri" w:hAnsi="Calibri" w:cs="Calibri"/>
        <w:b/>
        <w:sz w:val="22"/>
        <w:szCs w:val="22"/>
      </w:rPr>
      <w:t>, 2015)            ISSN: 2394-5710</w:t>
    </w:r>
  </w:p>
  <w:p w:rsidR="00EC5137" w:rsidRPr="00304EAD" w:rsidRDefault="00EC5137" w:rsidP="00EC5137">
    <w:pPr>
      <w:pStyle w:val="Header"/>
      <w:pBdr>
        <w:bottom w:val="thickThinSmallGap" w:sz="24" w:space="1" w:color="622423"/>
      </w:pBdr>
      <w:jc w:val="center"/>
      <w:rPr>
        <w:rFonts w:ascii="Calibri" w:hAnsi="Calibri" w:cs="Calibri"/>
        <w:b/>
        <w:sz w:val="22"/>
        <w:szCs w:val="22"/>
      </w:rPr>
    </w:pPr>
    <w:r w:rsidRPr="00304EAD">
      <w:rPr>
        <w:rFonts w:ascii="Calibri" w:hAnsi="Calibri" w:cs="Calibri"/>
        <w:b/>
        <w:sz w:val="22"/>
        <w:szCs w:val="22"/>
      </w:rPr>
      <w:t>International Journal in Physical &amp; Applied Sciences (Impact Factor- 2.865)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2E8" w:rsidRDefault="004C72E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A5149"/>
    <w:multiLevelType w:val="hybridMultilevel"/>
    <w:tmpl w:val="8F80A2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E43D39"/>
    <w:multiLevelType w:val="hybridMultilevel"/>
    <w:tmpl w:val="CE7E600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1B09A7"/>
    <w:multiLevelType w:val="hybridMultilevel"/>
    <w:tmpl w:val="55064A8A"/>
    <w:lvl w:ilvl="0" w:tplc="8206C962">
      <w:start w:val="1"/>
      <w:numFmt w:val="decimal"/>
      <w:lvlText w:val="%1."/>
      <w:lvlJc w:val="left"/>
      <w:pPr>
        <w:ind w:left="1080" w:hanging="72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2D4A16"/>
    <w:multiLevelType w:val="hybridMultilevel"/>
    <w:tmpl w:val="21BA500E"/>
    <w:lvl w:ilvl="0" w:tplc="82CA26F6">
      <w:start w:val="1"/>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D531627"/>
    <w:multiLevelType w:val="hybridMultilevel"/>
    <w:tmpl w:val="0478D828"/>
    <w:lvl w:ilvl="0" w:tplc="4C7EF4D4">
      <w:start w:val="1"/>
      <w:numFmt w:val="decimal"/>
      <w:lvlText w:val="%1"/>
      <w:lvlJc w:val="left"/>
      <w:pPr>
        <w:ind w:left="720" w:hanging="360"/>
      </w:pPr>
      <w:rPr>
        <w:rFonts w:eastAsia="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8C767BB"/>
    <w:multiLevelType w:val="hybridMultilevel"/>
    <w:tmpl w:val="DA4E9C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CCC27B9"/>
    <w:multiLevelType w:val="hybridMultilevel"/>
    <w:tmpl w:val="3ACC0B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7573F5"/>
    <w:multiLevelType w:val="hybridMultilevel"/>
    <w:tmpl w:val="E7D46F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C970DE9"/>
    <w:multiLevelType w:val="hybridMultilevel"/>
    <w:tmpl w:val="90081B00"/>
    <w:lvl w:ilvl="0" w:tplc="0409000F">
      <w:start w:val="1"/>
      <w:numFmt w:val="decimal"/>
      <w:lvlText w:val="%1."/>
      <w:lvlJc w:val="left"/>
      <w:pPr>
        <w:ind w:left="720" w:hanging="360"/>
      </w:pPr>
    </w:lvl>
    <w:lvl w:ilvl="1" w:tplc="58504E32">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1"/>
  </w:num>
  <w:num w:numId="4">
    <w:abstractNumId w:val="5"/>
  </w:num>
  <w:num w:numId="5">
    <w:abstractNumId w:val="3"/>
  </w:num>
  <w:num w:numId="6">
    <w:abstractNumId w:val="4"/>
  </w:num>
  <w:num w:numId="7">
    <w:abstractNumId w:val="2"/>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B4259D"/>
    <w:rsid w:val="00006677"/>
    <w:rsid w:val="0001405B"/>
    <w:rsid w:val="00017F29"/>
    <w:rsid w:val="0002581A"/>
    <w:rsid w:val="00054028"/>
    <w:rsid w:val="00083168"/>
    <w:rsid w:val="000A238E"/>
    <w:rsid w:val="000A3D7B"/>
    <w:rsid w:val="000E2476"/>
    <w:rsid w:val="00107B6E"/>
    <w:rsid w:val="001114A7"/>
    <w:rsid w:val="0011652F"/>
    <w:rsid w:val="00124E0B"/>
    <w:rsid w:val="00170437"/>
    <w:rsid w:val="00185B8B"/>
    <w:rsid w:val="00190F16"/>
    <w:rsid w:val="00195241"/>
    <w:rsid w:val="00196ED3"/>
    <w:rsid w:val="001A03F0"/>
    <w:rsid w:val="001B550B"/>
    <w:rsid w:val="001C3E49"/>
    <w:rsid w:val="001D3211"/>
    <w:rsid w:val="001E7D00"/>
    <w:rsid w:val="0021532D"/>
    <w:rsid w:val="00270F1E"/>
    <w:rsid w:val="002760C7"/>
    <w:rsid w:val="00276B94"/>
    <w:rsid w:val="00281269"/>
    <w:rsid w:val="00291538"/>
    <w:rsid w:val="002A0B25"/>
    <w:rsid w:val="002A4023"/>
    <w:rsid w:val="002C2113"/>
    <w:rsid w:val="002D2702"/>
    <w:rsid w:val="002D7280"/>
    <w:rsid w:val="002F499F"/>
    <w:rsid w:val="003202BE"/>
    <w:rsid w:val="00335FF3"/>
    <w:rsid w:val="00350994"/>
    <w:rsid w:val="00350B7F"/>
    <w:rsid w:val="003704AA"/>
    <w:rsid w:val="00383EE5"/>
    <w:rsid w:val="003B5868"/>
    <w:rsid w:val="003C3FED"/>
    <w:rsid w:val="003D1471"/>
    <w:rsid w:val="003D7F59"/>
    <w:rsid w:val="003E100A"/>
    <w:rsid w:val="00412B68"/>
    <w:rsid w:val="00417BDA"/>
    <w:rsid w:val="0042630B"/>
    <w:rsid w:val="0043707C"/>
    <w:rsid w:val="0043796F"/>
    <w:rsid w:val="004472F9"/>
    <w:rsid w:val="00456287"/>
    <w:rsid w:val="00474C47"/>
    <w:rsid w:val="004826F5"/>
    <w:rsid w:val="00496A37"/>
    <w:rsid w:val="004A5F02"/>
    <w:rsid w:val="004B1F6E"/>
    <w:rsid w:val="004C72E8"/>
    <w:rsid w:val="004D5960"/>
    <w:rsid w:val="004F15CD"/>
    <w:rsid w:val="005006AB"/>
    <w:rsid w:val="00501EE9"/>
    <w:rsid w:val="0050716F"/>
    <w:rsid w:val="00514BA3"/>
    <w:rsid w:val="005164D5"/>
    <w:rsid w:val="00520443"/>
    <w:rsid w:val="005612E9"/>
    <w:rsid w:val="0056594F"/>
    <w:rsid w:val="005671CB"/>
    <w:rsid w:val="00571C07"/>
    <w:rsid w:val="005754C6"/>
    <w:rsid w:val="00580DB3"/>
    <w:rsid w:val="00591AF5"/>
    <w:rsid w:val="005A5E77"/>
    <w:rsid w:val="005B0841"/>
    <w:rsid w:val="005E604A"/>
    <w:rsid w:val="00636C39"/>
    <w:rsid w:val="006400A2"/>
    <w:rsid w:val="00641870"/>
    <w:rsid w:val="00663F79"/>
    <w:rsid w:val="006701F4"/>
    <w:rsid w:val="006861F6"/>
    <w:rsid w:val="006862D0"/>
    <w:rsid w:val="006D2CA9"/>
    <w:rsid w:val="006D476B"/>
    <w:rsid w:val="006D4982"/>
    <w:rsid w:val="006D68EF"/>
    <w:rsid w:val="006D7EEC"/>
    <w:rsid w:val="006F0E9D"/>
    <w:rsid w:val="006F2862"/>
    <w:rsid w:val="00731ECA"/>
    <w:rsid w:val="007426B1"/>
    <w:rsid w:val="0074315C"/>
    <w:rsid w:val="00743AED"/>
    <w:rsid w:val="00746F52"/>
    <w:rsid w:val="0075244C"/>
    <w:rsid w:val="0076174B"/>
    <w:rsid w:val="00790424"/>
    <w:rsid w:val="00796392"/>
    <w:rsid w:val="007C1B77"/>
    <w:rsid w:val="007C33A5"/>
    <w:rsid w:val="00814131"/>
    <w:rsid w:val="008270FA"/>
    <w:rsid w:val="0083057C"/>
    <w:rsid w:val="00840CA8"/>
    <w:rsid w:val="008547C4"/>
    <w:rsid w:val="00862FA9"/>
    <w:rsid w:val="008722F6"/>
    <w:rsid w:val="008B2A4B"/>
    <w:rsid w:val="008E0601"/>
    <w:rsid w:val="008E273D"/>
    <w:rsid w:val="008F1583"/>
    <w:rsid w:val="008F2440"/>
    <w:rsid w:val="008F6DAD"/>
    <w:rsid w:val="00914E96"/>
    <w:rsid w:val="00923978"/>
    <w:rsid w:val="00970EAB"/>
    <w:rsid w:val="00971021"/>
    <w:rsid w:val="00972583"/>
    <w:rsid w:val="00991765"/>
    <w:rsid w:val="0099291A"/>
    <w:rsid w:val="00993D78"/>
    <w:rsid w:val="009A63AF"/>
    <w:rsid w:val="009C6F68"/>
    <w:rsid w:val="009D5905"/>
    <w:rsid w:val="009E46F5"/>
    <w:rsid w:val="009F5288"/>
    <w:rsid w:val="00A068EF"/>
    <w:rsid w:val="00A24F63"/>
    <w:rsid w:val="00A461CD"/>
    <w:rsid w:val="00A721FC"/>
    <w:rsid w:val="00A82440"/>
    <w:rsid w:val="00A8691D"/>
    <w:rsid w:val="00A93758"/>
    <w:rsid w:val="00AC369D"/>
    <w:rsid w:val="00AC4879"/>
    <w:rsid w:val="00AC74C7"/>
    <w:rsid w:val="00AE26F7"/>
    <w:rsid w:val="00AE35AC"/>
    <w:rsid w:val="00B0055E"/>
    <w:rsid w:val="00B2183C"/>
    <w:rsid w:val="00B22004"/>
    <w:rsid w:val="00B34057"/>
    <w:rsid w:val="00B4259D"/>
    <w:rsid w:val="00B4730D"/>
    <w:rsid w:val="00B728DF"/>
    <w:rsid w:val="00B819FA"/>
    <w:rsid w:val="00B85A14"/>
    <w:rsid w:val="00BD52A5"/>
    <w:rsid w:val="00BE069E"/>
    <w:rsid w:val="00BF5758"/>
    <w:rsid w:val="00C267DB"/>
    <w:rsid w:val="00C272E4"/>
    <w:rsid w:val="00C46B38"/>
    <w:rsid w:val="00C73170"/>
    <w:rsid w:val="00CB06E2"/>
    <w:rsid w:val="00CB522C"/>
    <w:rsid w:val="00CC74E9"/>
    <w:rsid w:val="00CD0C6B"/>
    <w:rsid w:val="00CE369A"/>
    <w:rsid w:val="00D07895"/>
    <w:rsid w:val="00D12E4F"/>
    <w:rsid w:val="00D138DC"/>
    <w:rsid w:val="00D21079"/>
    <w:rsid w:val="00D23EBB"/>
    <w:rsid w:val="00D52608"/>
    <w:rsid w:val="00D67794"/>
    <w:rsid w:val="00D802D1"/>
    <w:rsid w:val="00D92AA5"/>
    <w:rsid w:val="00D96BC4"/>
    <w:rsid w:val="00DA16C6"/>
    <w:rsid w:val="00DC344E"/>
    <w:rsid w:val="00DD4D7F"/>
    <w:rsid w:val="00DF285D"/>
    <w:rsid w:val="00DF2F36"/>
    <w:rsid w:val="00E1327D"/>
    <w:rsid w:val="00E2450B"/>
    <w:rsid w:val="00E30F94"/>
    <w:rsid w:val="00E56522"/>
    <w:rsid w:val="00E95BB3"/>
    <w:rsid w:val="00EB29F6"/>
    <w:rsid w:val="00EC3909"/>
    <w:rsid w:val="00EC5137"/>
    <w:rsid w:val="00F05ADA"/>
    <w:rsid w:val="00F117DA"/>
    <w:rsid w:val="00F12C40"/>
    <w:rsid w:val="00F21044"/>
    <w:rsid w:val="00F46545"/>
    <w:rsid w:val="00F506B5"/>
    <w:rsid w:val="00F76D5D"/>
    <w:rsid w:val="00FA1108"/>
    <w:rsid w:val="00FA582B"/>
    <w:rsid w:val="00FA6B08"/>
    <w:rsid w:val="00FB27B5"/>
    <w:rsid w:val="00FC017E"/>
    <w:rsid w:val="00FC54CF"/>
    <w:rsid w:val="00FF71D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4E9"/>
    <w:rPr>
      <w:sz w:val="24"/>
      <w:szCs w:val="24"/>
      <w:lang w:val="en-US" w:eastAsia="en-US"/>
    </w:rPr>
  </w:style>
  <w:style w:type="paragraph" w:styleId="Heading1">
    <w:name w:val="heading 1"/>
    <w:basedOn w:val="Normal"/>
    <w:next w:val="Normal"/>
    <w:link w:val="Heading1Char"/>
    <w:qFormat/>
    <w:rsid w:val="00814131"/>
    <w:pPr>
      <w:keepNext/>
      <w:tabs>
        <w:tab w:val="num" w:pos="432"/>
      </w:tabs>
      <w:suppressAutoHyphens/>
      <w:ind w:left="432" w:hanging="432"/>
      <w:outlineLvl w:val="0"/>
    </w:pPr>
    <w:rPr>
      <w:rFonts w:cs="Calibri"/>
      <w:sz w:val="28"/>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74E9"/>
    <w:pPr>
      <w:spacing w:after="200" w:line="276" w:lineRule="auto"/>
      <w:ind w:left="720"/>
      <w:contextualSpacing/>
    </w:pPr>
    <w:rPr>
      <w:rFonts w:asciiTheme="minorHAnsi" w:eastAsiaTheme="minorHAnsi" w:hAnsiTheme="minorHAnsi" w:cstheme="minorBidi"/>
      <w:sz w:val="22"/>
      <w:szCs w:val="22"/>
      <w:lang w:val="en-GB"/>
    </w:rPr>
  </w:style>
  <w:style w:type="character" w:styleId="PlaceholderText">
    <w:name w:val="Placeholder Text"/>
    <w:basedOn w:val="DefaultParagraphFont"/>
    <w:uiPriority w:val="99"/>
    <w:semiHidden/>
    <w:rsid w:val="00914E96"/>
    <w:rPr>
      <w:color w:val="808080"/>
    </w:rPr>
  </w:style>
  <w:style w:type="paragraph" w:styleId="BalloonText">
    <w:name w:val="Balloon Text"/>
    <w:basedOn w:val="Normal"/>
    <w:link w:val="BalloonTextChar"/>
    <w:uiPriority w:val="99"/>
    <w:semiHidden/>
    <w:unhideWhenUsed/>
    <w:rsid w:val="00914E96"/>
    <w:rPr>
      <w:rFonts w:ascii="Tahoma" w:hAnsi="Tahoma" w:cs="Tahoma"/>
      <w:sz w:val="16"/>
      <w:szCs w:val="16"/>
    </w:rPr>
  </w:style>
  <w:style w:type="character" w:customStyle="1" w:styleId="BalloonTextChar">
    <w:name w:val="Balloon Text Char"/>
    <w:basedOn w:val="DefaultParagraphFont"/>
    <w:link w:val="BalloonText"/>
    <w:uiPriority w:val="99"/>
    <w:semiHidden/>
    <w:rsid w:val="00914E96"/>
    <w:rPr>
      <w:rFonts w:ascii="Tahoma" w:hAnsi="Tahoma" w:cs="Tahoma"/>
      <w:sz w:val="16"/>
      <w:szCs w:val="16"/>
      <w:lang w:val="en-US" w:eastAsia="en-US"/>
    </w:rPr>
  </w:style>
  <w:style w:type="paragraph" w:styleId="Header">
    <w:name w:val="header"/>
    <w:basedOn w:val="Normal"/>
    <w:link w:val="HeaderChar"/>
    <w:uiPriority w:val="99"/>
    <w:unhideWhenUsed/>
    <w:rsid w:val="009D5905"/>
    <w:pPr>
      <w:tabs>
        <w:tab w:val="center" w:pos="4513"/>
        <w:tab w:val="right" w:pos="9026"/>
      </w:tabs>
    </w:pPr>
  </w:style>
  <w:style w:type="character" w:customStyle="1" w:styleId="HeaderChar">
    <w:name w:val="Header Char"/>
    <w:basedOn w:val="DefaultParagraphFont"/>
    <w:link w:val="Header"/>
    <w:uiPriority w:val="99"/>
    <w:rsid w:val="009D5905"/>
    <w:rPr>
      <w:sz w:val="24"/>
      <w:szCs w:val="24"/>
      <w:lang w:val="en-US" w:eastAsia="en-US"/>
    </w:rPr>
  </w:style>
  <w:style w:type="paragraph" w:styleId="Footer">
    <w:name w:val="footer"/>
    <w:basedOn w:val="Normal"/>
    <w:link w:val="FooterChar"/>
    <w:uiPriority w:val="99"/>
    <w:unhideWhenUsed/>
    <w:rsid w:val="009D5905"/>
    <w:pPr>
      <w:tabs>
        <w:tab w:val="center" w:pos="4513"/>
        <w:tab w:val="right" w:pos="9026"/>
      </w:tabs>
    </w:pPr>
  </w:style>
  <w:style w:type="character" w:customStyle="1" w:styleId="FooterChar">
    <w:name w:val="Footer Char"/>
    <w:basedOn w:val="DefaultParagraphFont"/>
    <w:link w:val="Footer"/>
    <w:uiPriority w:val="99"/>
    <w:rsid w:val="009D5905"/>
    <w:rPr>
      <w:sz w:val="24"/>
      <w:szCs w:val="24"/>
      <w:lang w:val="en-US" w:eastAsia="en-US"/>
    </w:rPr>
  </w:style>
  <w:style w:type="character" w:styleId="Hyperlink">
    <w:name w:val="Hyperlink"/>
    <w:basedOn w:val="DefaultParagraphFont"/>
    <w:rsid w:val="00EC5137"/>
    <w:rPr>
      <w:color w:val="0000FF"/>
      <w:u w:val="single"/>
    </w:rPr>
  </w:style>
  <w:style w:type="character" w:customStyle="1" w:styleId="Heading1Char">
    <w:name w:val="Heading 1 Char"/>
    <w:basedOn w:val="DefaultParagraphFont"/>
    <w:link w:val="Heading1"/>
    <w:rsid w:val="00814131"/>
    <w:rPr>
      <w:rFonts w:cs="Calibri"/>
      <w:sz w:val="28"/>
      <w:lang w:val="en-US" w:eastAsia="ar-SA"/>
    </w:rPr>
  </w:style>
  <w:style w:type="paragraph" w:styleId="BodyText">
    <w:name w:val="Body Text"/>
    <w:basedOn w:val="Normal"/>
    <w:link w:val="BodyTextChar1"/>
    <w:rsid w:val="00814131"/>
    <w:pPr>
      <w:suppressAutoHyphens/>
      <w:jc w:val="both"/>
    </w:pPr>
    <w:rPr>
      <w:rFonts w:cs="Calibri"/>
      <w:b/>
      <w:sz w:val="32"/>
      <w:szCs w:val="20"/>
      <w:lang w:eastAsia="ar-SA"/>
    </w:rPr>
  </w:style>
  <w:style w:type="character" w:customStyle="1" w:styleId="BodyTextChar">
    <w:name w:val="Body Text Char"/>
    <w:basedOn w:val="DefaultParagraphFont"/>
    <w:link w:val="BodyText"/>
    <w:uiPriority w:val="99"/>
    <w:semiHidden/>
    <w:rsid w:val="00814131"/>
    <w:rPr>
      <w:sz w:val="24"/>
      <w:szCs w:val="24"/>
      <w:lang w:val="en-US" w:eastAsia="en-US"/>
    </w:rPr>
  </w:style>
  <w:style w:type="character" w:customStyle="1" w:styleId="BodyTextChar1">
    <w:name w:val="Body Text Char1"/>
    <w:basedOn w:val="DefaultParagraphFont"/>
    <w:link w:val="BodyText"/>
    <w:rsid w:val="00814131"/>
    <w:rPr>
      <w:rFonts w:cs="Calibri"/>
      <w:b/>
      <w:sz w:val="32"/>
      <w:lang w:val="en-US" w:eastAsia="ar-SA"/>
    </w:rPr>
  </w:style>
  <w:style w:type="paragraph" w:styleId="BodyTextIndent">
    <w:name w:val="Body Text Indent"/>
    <w:basedOn w:val="Normal"/>
    <w:link w:val="BodyTextIndentChar1"/>
    <w:rsid w:val="00814131"/>
    <w:pPr>
      <w:suppressAutoHyphens/>
      <w:spacing w:after="120"/>
      <w:ind w:left="360"/>
    </w:pPr>
    <w:rPr>
      <w:rFonts w:cs="Calibri"/>
      <w:sz w:val="28"/>
      <w:szCs w:val="20"/>
      <w:lang w:eastAsia="ar-SA"/>
    </w:rPr>
  </w:style>
  <w:style w:type="character" w:customStyle="1" w:styleId="BodyTextIndentChar">
    <w:name w:val="Body Text Indent Char"/>
    <w:basedOn w:val="DefaultParagraphFont"/>
    <w:link w:val="BodyTextIndent"/>
    <w:uiPriority w:val="99"/>
    <w:semiHidden/>
    <w:rsid w:val="00814131"/>
    <w:rPr>
      <w:sz w:val="24"/>
      <w:szCs w:val="24"/>
      <w:lang w:val="en-US" w:eastAsia="en-US"/>
    </w:rPr>
  </w:style>
  <w:style w:type="character" w:customStyle="1" w:styleId="BodyTextIndentChar1">
    <w:name w:val="Body Text Indent Char1"/>
    <w:basedOn w:val="DefaultParagraphFont"/>
    <w:link w:val="BodyTextIndent"/>
    <w:rsid w:val="00814131"/>
    <w:rPr>
      <w:rFonts w:cs="Calibri"/>
      <w:sz w:val="28"/>
      <w:lang w:val="en-US" w:eastAsia="ar-SA"/>
    </w:rPr>
  </w:style>
  <w:style w:type="paragraph" w:customStyle="1" w:styleId="AuthName">
    <w:name w:val="AuthName"/>
    <w:basedOn w:val="Normal"/>
    <w:rsid w:val="00814131"/>
    <w:pPr>
      <w:tabs>
        <w:tab w:val="left" w:pos="360"/>
      </w:tabs>
      <w:overflowPunct w:val="0"/>
      <w:autoSpaceDE w:val="0"/>
      <w:autoSpaceDN w:val="0"/>
      <w:adjustRightInd w:val="0"/>
      <w:spacing w:before="480"/>
      <w:ind w:left="357" w:hanging="357"/>
      <w:textAlignment w:val="baseline"/>
    </w:pPr>
    <w:rPr>
      <w:szCs w:val="20"/>
      <w:lang w:val="en-AU"/>
    </w:rPr>
  </w:style>
  <w:style w:type="paragraph" w:customStyle="1" w:styleId="Default">
    <w:name w:val="Default"/>
    <w:rsid w:val="00814131"/>
    <w:pPr>
      <w:autoSpaceDE w:val="0"/>
      <w:autoSpaceDN w:val="0"/>
      <w:adjustRightInd w:val="0"/>
    </w:pPr>
    <w:rPr>
      <w:color w:val="000000"/>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8.png"/><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png"/><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irjmss@gmail.com" TargetMode="External"/><Relationship Id="rId1" Type="http://schemas.openxmlformats.org/officeDocument/2006/relationships/hyperlink" Target="http://www.ijm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2302</Words>
  <Characters>13122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DRZUSIDDIQUI</dc:creator>
  <cp:lastModifiedBy>DELL</cp:lastModifiedBy>
  <cp:revision>2</cp:revision>
  <cp:lastPrinted>2015-10-14T23:49:00Z</cp:lastPrinted>
  <dcterms:created xsi:type="dcterms:W3CDTF">2015-10-24T02:22:00Z</dcterms:created>
  <dcterms:modified xsi:type="dcterms:W3CDTF">2015-10-24T02:22:00Z</dcterms:modified>
</cp:coreProperties>
</file>